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firstLine="283.46456692913375"/>
        <w:jc w:val="both"/>
        <w:rPr>
          <w:rFonts w:ascii="Times New Roman" w:cs="Times New Roman" w:eastAsia="Times New Roman" w:hAnsi="Times New Roman"/>
          <w:b w:val="1"/>
          <w:bCs w:val="1"/>
          <w:color w:val="0f1115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color w:val="0f1115"/>
          <w:sz w:val="32"/>
          <w:szCs w:val="32"/>
          <w:rtl w:val="0"/>
        </w:rPr>
        <w:t xml:space="preserve">РЕЦЕНЗИЯ</w:t>
      </w:r>
    </w:p>
    <w:p w:rsidR="00000000" w:rsidDel="00000000" w:rsidP="00000000" w:rsidRDefault="00000000" w:rsidRPr="00000000" w14:paraId="00000002">
      <w:pPr>
        <w:shd w:fill="ffffff" w:val="clear"/>
        <w:spacing w:after="240" w:before="240" w:lineRule="auto"/>
        <w:ind w:firstLine="283.46456692913375"/>
        <w:jc w:val="both"/>
        <w:rPr>
          <w:rFonts w:ascii="Times New Roman" w:cs="Times New Roman" w:eastAsia="Times New Roman" w:hAnsi="Times New Roman"/>
          <w:color w:val="0f1115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на статью Петрова А.И., Сидоровой В.К. «Фрактальная графика как инструмент развития алгоритмического мышления учащихся на уроках информатики»</w:t>
      </w:r>
    </w:p>
    <w:p w:rsidR="00000000" w:rsidDel="00000000" w:rsidP="00000000" w:rsidRDefault="00000000" w:rsidRPr="00000000" w14:paraId="00000003">
      <w:pPr>
        <w:shd w:fill="ffffff" w:val="clear"/>
        <w:spacing w:after="240" w:before="240" w:lineRule="auto"/>
        <w:ind w:firstLine="283.46456692913375"/>
        <w:jc w:val="both"/>
        <w:rPr>
          <w:rFonts w:ascii="Times New Roman" w:cs="Times New Roman" w:eastAsia="Times New Roman" w:hAnsi="Times New Roman"/>
          <w:color w:val="0f1115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Актуальность темы исследования. В представленной статье рассматривается вопрос использования фрактальной графики в школьном курсе информатики. Тема, безусловно, является актуальной в контексте модернизации образования, внедрения STEM-подходов и поиска эффективных инструментов для развития вычислительного и алгоритмического мышления учащихся. Авторы справедливо отмечают возрастающий интерес к визуализации сложных математических объектов. Актуальность подтверждается ссылками на государственные образовательные стандарты, делающие упор на развитие метапредметных компетенций.</w:t>
      </w:r>
    </w:p>
    <w:p w:rsidR="00000000" w:rsidDel="00000000" w:rsidP="00000000" w:rsidRDefault="00000000" w:rsidRPr="00000000" w14:paraId="00000004">
      <w:pPr>
        <w:shd w:fill="ffffff" w:val="clear"/>
        <w:spacing w:after="240" w:before="240" w:lineRule="auto"/>
        <w:ind w:firstLine="283.46456692913375"/>
        <w:jc w:val="both"/>
        <w:rPr>
          <w:rFonts w:ascii="Times New Roman" w:cs="Times New Roman" w:eastAsia="Times New Roman" w:hAnsi="Times New Roman"/>
          <w:color w:val="0f1115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Общая характеристика работы и ее основные положения. Статья имеет четкую структуру: введение, теоретическая часть, описание методики проведения занятий, результаты апробации, заключение. Авторы последовательно раскрывают понятие фрактала, обосновывают связь между рекурсивными алгоритмами построения фракталов (на примере множества Кантора, треугольника Серпинского и «папоротника» Барнсли) и формированием алгоритмического мышления. Основное содержание статьи посвящено описанию авторской методики, реализованной в рамках элективного курса для 9-10 классов с использованием языка программирования Python (библиотека Turtle). Представлены конкретные задания, этапы их выполнения и критерии оценки. В статье приведены краткие результаты педагогического эксперимента, демонстрирующие положительную динамику в уровне сформированности алгоритмических навыков в экспериментальной группе.</w:t>
      </w:r>
    </w:p>
    <w:p w:rsidR="00000000" w:rsidDel="00000000" w:rsidP="00000000" w:rsidRDefault="00000000" w:rsidRPr="00000000" w14:paraId="00000005">
      <w:pPr>
        <w:shd w:fill="ffffff" w:val="clear"/>
        <w:spacing w:after="240" w:before="240" w:lineRule="auto"/>
        <w:ind w:firstLine="283.46456692913375"/>
        <w:jc w:val="both"/>
        <w:rPr>
          <w:rFonts w:ascii="Times New Roman" w:cs="Times New Roman" w:eastAsia="Times New Roman" w:hAnsi="Times New Roman"/>
          <w:color w:val="0f1115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Достоинства статьи: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spacing w:after="0" w:afterAutospacing="0" w:before="240" w:lineRule="auto"/>
        <w:ind w:left="720" w:hanging="436.5354330708662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Практическая значимость: Ключевым достоинством работы является ее прикладной характер. Авторы не ограничиваются теоретическим обзором, а предлагают готовую, детально описанную методику, которую могут использовать учителя информатики.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after="0" w:afterAutospacing="0" w:before="0" w:beforeAutospacing="0" w:lineRule="auto"/>
        <w:ind w:left="720" w:hanging="436.5354330708662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Конкретность и воспроизводимость: Представленные фрагменты кода на Python, постановка задач и этапы работы позволяют воспроизвести предложенный опыт в других образовательных условиях.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after="240" w:before="0" w:beforeAutospacing="0" w:lineRule="auto"/>
        <w:ind w:left="720" w:hanging="436.5354330708662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Научная обоснованность: Авторы корректно оперируют базовыми математическими понятиями и увязывают их с педагогическими целями. Список литературы включает как фундаментальные работы (Мандельброт), так и современные методические источники.</w:t>
      </w:r>
    </w:p>
    <w:p w:rsidR="00000000" w:rsidDel="00000000" w:rsidP="00000000" w:rsidRDefault="00000000" w:rsidRPr="00000000" w14:paraId="00000009">
      <w:pPr>
        <w:shd w:fill="ffffff" w:val="clear"/>
        <w:spacing w:after="240" w:before="240" w:lineRule="auto"/>
        <w:ind w:firstLine="283.46456692913375"/>
        <w:jc w:val="both"/>
        <w:rPr>
          <w:rFonts w:ascii="Times New Roman" w:cs="Times New Roman" w:eastAsia="Times New Roman" w:hAnsi="Times New Roman"/>
          <w:color w:val="0f1115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Замечания и вопросы к авторам (критический анализ):</w:t>
        <w:br w:type="textWrapping"/>
        <w:t xml:space="preserve">Несмотря на несомненные достоинства, статья позволяет выявить проблемное поле, непосредственно связанное с темой магистерской диссертации рецензента («Корпоративное обучение учителей элементам цифровой живописи на основе изучения фракталов»).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hd w:fill="ffffff" w:val="clear"/>
        <w:spacing w:after="0" w:afterAutospacing="0" w:before="240" w:lineRule="auto"/>
        <w:ind w:left="720" w:hanging="436.5354330708662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Узкопредметная направленность: Авторы рассматривают фракталы исключительно в контексте уроков информатики через призму программирования. Такой подход, развивающий алгоритмическое мышление, оставляет в стороне огромный творческий и междисциплинарный потенциал фрактальной геометрии. Не затронуты возможности интеграции с математикой (геометрия), физикой (моделирование сложных систем), изобразительным искусством (цифровая живопись). Это существенно сужает аудиторию применения методики.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436.5354330708662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Барьер для учителя-непрограммиста: Предложенная методика предполагает у учителя уверенное владение Python. Для многих учителей (не только предметников, но и части информатиков) это является существенным техническим и мотивационным барьером. В статье не рассматриваются альтернативы — специализированное, более доступное ПО для генерации фракталов (Apophysis, Mandelbulb 3D), которое позволяет сосредоточиться на визуально-эстетических и исследовательских аспектах, минимизируя синтаксис кода.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hd w:fill="ffffff" w:val="clear"/>
        <w:spacing w:after="0" w:afterAutospacing="0" w:before="0" w:beforeAutospacing="0" w:lineRule="auto"/>
        <w:ind w:left="720" w:hanging="436.5354330708662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Отсутствие контекста профессионального развития педагога: Авторы описывают готовую методику, но не отвечают на вопрос: каким образом учитель, не знакомый с темой, может освоить этот материал? В статье отсутствует анализ того, как должно быть организовано обучение </w:t>
      </w:r>
      <w:r w:rsidDel="00000000" w:rsidR="00000000" w:rsidRPr="00000000">
        <w:rPr>
          <w:rFonts w:ascii="Times New Roman" w:cs="Times New Roman" w:eastAsia="Times New Roman" w:hAnsi="Times New Roman"/>
          <w:i w:val="1"/>
          <w:iCs w:val="1"/>
          <w:color w:val="0f1115"/>
          <w:sz w:val="26"/>
          <w:szCs w:val="26"/>
          <w:rtl w:val="0"/>
        </w:rPr>
        <w:t xml:space="preserve">самих педагогов</w:t>
      </w: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 этой инновационной методике. Это напрямую указывает на актуальность исследования рецензента, где предлагается модель корпоративного обучения как решение данной проблемы.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hd w:fill="ffffff" w:val="clear"/>
        <w:spacing w:after="240" w:before="0" w:beforeAutospacing="0" w:lineRule="auto"/>
        <w:ind w:left="720" w:hanging="436.5354330708662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Вопрос результативности: Описание результатов эксперимента носит обобщенный характер. Было бы ценно увидеть не только общую динамику, но и примеры творческих работ учащихся, их рефлексию, что позволило бы судить о развитии не только алгоритмического, но и образного, креативного мышления.</w:t>
      </w:r>
    </w:p>
    <w:p w:rsidR="00000000" w:rsidDel="00000000" w:rsidP="00000000" w:rsidRDefault="00000000" w:rsidRPr="00000000" w14:paraId="0000000E">
      <w:pPr>
        <w:shd w:fill="ffffff" w:val="clear"/>
        <w:spacing w:after="240" w:before="240" w:lineRule="auto"/>
        <w:ind w:firstLine="283.46456692913375"/>
        <w:jc w:val="both"/>
        <w:rPr>
          <w:rFonts w:ascii="Times New Roman" w:cs="Times New Roman" w:eastAsia="Times New Roman" w:hAnsi="Times New Roman"/>
          <w:color w:val="0f1115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Выводы и общая оценка.</w:t>
      </w:r>
    </w:p>
    <w:p w:rsidR="00000000" w:rsidDel="00000000" w:rsidP="00000000" w:rsidRDefault="00000000" w:rsidRPr="00000000" w14:paraId="0000000F">
      <w:pPr>
        <w:shd w:fill="ffffff" w:val="clear"/>
        <w:spacing w:after="240" w:before="240" w:lineRule="auto"/>
        <w:ind w:firstLine="283.46456692913375"/>
        <w:jc w:val="both"/>
        <w:rPr>
          <w:rFonts w:ascii="Times New Roman" w:cs="Times New Roman" w:eastAsia="Times New Roman" w:hAnsi="Times New Roman"/>
          <w:color w:val="0f1115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Статья Петрова А.И. и Сидоровой В.К. представляет собой добротное, практически ценное исследование в своей узкой предметной области. Она вносит конкретный вклад в методику преподавания информатики и подтверждает образовательный потенциал фракталов.</w:t>
      </w:r>
    </w:p>
    <w:p w:rsidR="00000000" w:rsidDel="00000000" w:rsidP="00000000" w:rsidRDefault="00000000" w:rsidRPr="00000000" w14:paraId="00000010">
      <w:pPr>
        <w:shd w:fill="ffffff" w:val="clear"/>
        <w:spacing w:after="240" w:before="240" w:lineRule="auto"/>
        <w:ind w:firstLine="283.46456692913375"/>
        <w:jc w:val="both"/>
        <w:rPr>
          <w:rFonts w:ascii="Times New Roman" w:cs="Times New Roman" w:eastAsia="Times New Roman" w:hAnsi="Times New Roman"/>
          <w:color w:val="0f1115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Однако данная работа, с точки зрения более широкого контекста цифровизации и междисциплинарности образования, подчеркивает существующие лакуны: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hd w:fill="ffffff" w:val="clear"/>
        <w:spacing w:after="0" w:afterAutospacing="0" w:before="240" w:lineRule="auto"/>
        <w:ind w:left="720" w:hanging="436.5354330708662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Лакуну в междисциплинарных методиках использования фракталов.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hd w:fill="ffffff" w:val="clear"/>
        <w:spacing w:after="0" w:afterAutospacing="0" w:before="0" w:beforeAutospacing="0" w:lineRule="auto"/>
        <w:ind w:left="720" w:hanging="436.5354330708662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Лакуну в доступных инструментах, снижающих порог входа для учителей и учащихся.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hd w:fill="ffffff" w:val="clear"/>
        <w:spacing w:after="240" w:before="0" w:beforeAutospacing="0" w:lineRule="auto"/>
        <w:ind w:left="720" w:hanging="436.53543307086625"/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И, что наиболее важно для диссертации рецензента, лакуну в моделях профессионального развития педагогов для освоения таких комплексных тем.</w:t>
      </w:r>
    </w:p>
    <w:p w:rsidR="00000000" w:rsidDel="00000000" w:rsidP="00000000" w:rsidRDefault="00000000" w:rsidRPr="00000000" w14:paraId="00000014">
      <w:pPr>
        <w:shd w:fill="ffffff" w:val="clear"/>
        <w:spacing w:after="240" w:before="240" w:lineRule="auto"/>
        <w:ind w:firstLine="283.46456692913375"/>
        <w:jc w:val="both"/>
        <w:rPr>
          <w:rFonts w:ascii="Times New Roman" w:cs="Times New Roman" w:eastAsia="Times New Roman" w:hAnsi="Times New Roman"/>
          <w:color w:val="0f1115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Таким образом, рецензируемая статья, будучи качественной сама по себе, косвенно обосновывает необходимость и новизну магистерского исследования, направленного на преодоление указанных ограничений через модель корпоративного обучения учителей разных специальностей элементам цифровой живописи на основе фракталов.</w:t>
      </w:r>
    </w:p>
    <w:p w:rsidR="00000000" w:rsidDel="00000000" w:rsidP="00000000" w:rsidRDefault="00000000" w:rsidRPr="00000000" w14:paraId="00000015">
      <w:pPr>
        <w:shd w:fill="ffffff" w:val="clear"/>
        <w:spacing w:after="240" w:before="240" w:lineRule="auto"/>
        <w:ind w:firstLine="283.46456692913375"/>
        <w:jc w:val="both"/>
        <w:rPr>
          <w:rFonts w:ascii="Times New Roman" w:cs="Times New Roman" w:eastAsia="Times New Roman" w:hAnsi="Times New Roman"/>
          <w:color w:val="0f1115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Рекомендация: Статья заслуживает публикации в научно-методических изданиях для учителей информатики. Авторам можно было бы рекомендовать в дальнейших исследованиях рассмотреть возможность выхода за рамки программирования и интеграцию с другими предметами, а также вопросы повышения квалификации педагогов.</w:t>
      </w:r>
    </w:p>
    <w:p w:rsidR="00000000" w:rsidDel="00000000" w:rsidP="00000000" w:rsidRDefault="00000000" w:rsidRPr="00000000" w14:paraId="00000016">
      <w:pPr>
        <w:ind w:firstLine="283.46456692913375"/>
        <w:jc w:val="both"/>
        <w:rPr>
          <w:rFonts w:ascii="Times New Roman" w:cs="Times New Roman" w:eastAsia="Times New Roman" w:hAnsi="Times New Roman"/>
          <w:color w:val="0f1115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color w:val="0f1115"/>
          <w:sz w:val="26"/>
          <w:szCs w:val="26"/>
          <w:rtl w:val="0"/>
        </w:rPr>
        <w:t xml:space="preserve">Примечание рецензента: Данная рецензия написана на гипотетическую, но типичную для педагогических журналов статью. В реальной работе необходимо выбрать конкретную существующую публикацию, близкую к теме диссертации, и провести ее детальный разбор в аналогичном ключе, связывая критические замечания с собственной исследовательской проблемой.</w:t>
      </w:r>
    </w:p>
    <w:p w:rsidR="00000000" w:rsidDel="00000000" w:rsidP="00000000" w:rsidRDefault="00000000" w:rsidRPr="00000000" w14:paraId="00000017">
      <w:pPr>
        <w:ind w:firstLine="283.464566929133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f1115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f1115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f1115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