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240" w:lineRule="auto"/>
        <w:ind w:hanging="283.46456692913375"/>
        <w:jc w:val="both"/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28"/>
          <w:szCs w:val="28"/>
          <w:rtl w:val="0"/>
        </w:rPr>
        <w:t xml:space="preserve">СПИСОК ТЕРМИНОВ ЭЛЕКТРОННОГО ГЛОССАРИЯ</w:t>
      </w:r>
    </w:p>
    <w:p w:rsidR="00000000" w:rsidDel="00000000" w:rsidP="00000000" w:rsidRDefault="00000000" w:rsidRPr="00000000" w14:paraId="00000002">
      <w:pPr>
        <w:shd w:fill="ffffff" w:val="clear"/>
        <w:spacing w:after="240" w:lineRule="auto"/>
        <w:ind w:hanging="425.19685039370086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Категория 1: Ключевые педагогические и организационные понятия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hd w:fill="ffffff" w:val="clear"/>
        <w:spacing w:after="0" w:afterAutospacing="0" w:before="24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Корпоративное обучение (в образовательной организации) – Системный процесс развития компетенций педагогического коллектива, инициируемый школой для достижения общих стратегических целей. Отличается практической ориентированностью на внутренние задачи.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Professional Learning Community (PLC) / Профессиональное учебное сообщество – Сообщество педагогов, объединенных целью улучшения результатов учащихся через сотрудничество, совместное исследование и взаимное обучение.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Job-embedded learning / Обучение, встроенное в практику – Принцип, при котором учебная деятельность напрямую связана с ежедневными профессиональными задачами, а ее результаты немедленно применяются на рабочем месте.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Цифровая компетентность педагога – Способность и готовность учителя эффективно и критично использовать цифровые технологии для решения педагогических задач, организации процесса и профессионального развития.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STEAM-образование – Междисциплинарный подход, интегрирующий естественные науки, технологии, инженерию, искусство и математику в единую модель обучения на основе проектов.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hd w:fill="ffffff" w:val="clear"/>
        <w:spacing w:after="24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Андрагогика – Наука об обучении взрослых, учитывающая их самостоятельность, жизненный опыт и практико-ориентированность.</w:t>
      </w:r>
    </w:p>
    <w:p w:rsidR="00000000" w:rsidDel="00000000" w:rsidP="00000000" w:rsidRDefault="00000000" w:rsidRPr="00000000" w14:paraId="00000009">
      <w:pPr>
        <w:shd w:fill="ffffff" w:val="clear"/>
        <w:spacing w:after="240" w:before="240" w:lineRule="auto"/>
        <w:ind w:left="-421.53543307086625" w:firstLine="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Категория 2: Математическая и цифро-художественная основа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hd w:fill="ffffff" w:val="clear"/>
        <w:spacing w:after="0" w:afterAutospacing="0" w:before="240" w:lineRule="auto"/>
        <w:ind w:left="72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Фрактал – Геометрическая фигура, обладающая свойством самоподобия (часть повторяет целое). Характеризуется бесконечной сложностью и дробной размерностью.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hd w:fill="ffffff" w:val="clear"/>
        <w:spacing w:after="0" w:afterAutospacing="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Самоподобие – Основное свойство фракталов, заключающееся в том, что объект в целом имеет ту же форму, что и одна или более его частей.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hd w:fill="ffffff" w:val="clear"/>
        <w:spacing w:after="0" w:afterAutospacing="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Алгоритмическая красота / Фрактальная эстетика – Эстетическая ценность, возникающая из визуализации сложных математических алгоритмов и структур.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hd w:fill="ffffff" w:val="clear"/>
        <w:spacing w:after="0" w:afterAutospacing="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Цифровая живопись (Digital Painting) – Создание живописных изображений с помощью компьютерных программ и устройств ввода, имитирующих традиционные техники.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hd w:fill="ffffff" w:val="clear"/>
        <w:spacing w:after="0" w:afterAutospacing="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Фрактальная графика – Вид компьютерной графики, основанный на вычислении и визуализации фрактальных объектов.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hd w:fill="ffffff" w:val="clear"/>
        <w:spacing w:after="0" w:afterAutospacing="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Генератор фракталов – Специализированная программа для создания и визуального редактирования фрактальных изображений (например, Apophysis, Mandelbulb 3D).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hd w:fill="ffffff" w:val="clear"/>
        <w:spacing w:after="24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Рендеринг (в контексте фракталов) – Процесс вычисления и визуализации фрактального изображения с заданными параметрами (глубина, цвет, освещение).</w:t>
      </w:r>
    </w:p>
    <w:p w:rsidR="00000000" w:rsidDel="00000000" w:rsidP="00000000" w:rsidRDefault="00000000" w:rsidRPr="00000000" w14:paraId="00000011">
      <w:pPr>
        <w:shd w:fill="ffffff" w:val="clear"/>
        <w:spacing w:before="240" w:lineRule="auto"/>
        <w:ind w:hanging="425.19685039370086"/>
        <w:jc w:val="both"/>
        <w:rPr>
          <w:rFonts w:ascii="Times New Roman" w:cs="Times New Roman" w:eastAsia="Times New Roman" w:hAnsi="Times New Roman"/>
          <w:color w:val="0f1115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Категория 3: Методические и оценочные понятия</w:t>
        <w:br w:type="textWrapping"/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hd w:fill="ffffff" w:val="clear"/>
        <w:spacing w:after="0" w:afterAutospacing="0" w:before="240" w:lineRule="auto"/>
        <w:ind w:left="72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Методический кейс (педагогический) – Комплект учебно-методических материалов, разработанный учителем по конкретной теме (конспект, дидактика, критерии оценки, примеры работ).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hd w:fill="ffffff" w:val="clear"/>
        <w:spacing w:after="0" w:afterAutospacing="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Междисциплинарный учебный модуль – Самостоятельный блок содержания, объединяющий знания и методы из двух и более учебных предметов вокруг общей темы.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hd w:fill="ffffff" w:val="clear"/>
        <w:spacing w:after="0" w:afterAutospacing="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Цифровое портфолио учителя – Систематизированная коллекция цифровых артефактов (работ, разработок, рефлексий), демонстрирующих профессиональный опыт и рост.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hd w:fill="ffffff" w:val="clear"/>
        <w:spacing w:after="0" w:afterAutospacing="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Педагогический скрайбинг – Техника визуализации учебного материала через создание быстрых, схематичных рисунков, сопровождающих объяснение.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hd w:fill="ffffff" w:val="clear"/>
        <w:spacing w:after="0" w:afterAutospacing="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Критериальное оценивание творческих работ – Система оценки, основанная на заранее определенных критериях, описывающих качество выполнения (мастерство, оригинальность, сложность, концепция).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hd w:fill="ffffff" w:val="clear"/>
        <w:spacing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color w:val="0f1115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8"/>
          <w:szCs w:val="28"/>
          <w:rtl w:val="0"/>
        </w:rPr>
        <w:t xml:space="preserve">Тьюторское сопровождение (в корпоративном обучении) – Деятельность опытного методиста или эксперта по организации процесса обучения, консультированию и поддержке рефлексии участников сообщества.</w:t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700.7874015748032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f1115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