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ind w:firstLine="425.19685039370086"/>
        <w:jc w:val="both"/>
        <w:rPr>
          <w:rFonts w:ascii="Times New Roman" w:cs="Times New Roman" w:eastAsia="Times New Roman" w:hAnsi="Times New Roman"/>
          <w:b w:val="1"/>
          <w:bCs w:val="1"/>
          <w:sz w:val="34"/>
          <w:szCs w:val="3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34"/>
          <w:szCs w:val="34"/>
          <w:rtl w:val="0"/>
        </w:rPr>
        <w:t xml:space="preserve">Сопоставительный анализ изученных источников</w:t>
      </w:r>
    </w:p>
    <w:p w:rsidR="00000000" w:rsidDel="00000000" w:rsidP="00000000" w:rsidRDefault="00000000" w:rsidRPr="00000000" w14:paraId="00000002">
      <w:pPr>
        <w:spacing w:after="240" w:before="240" w:lineRule="auto"/>
        <w:ind w:firstLine="425.19685039370086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Для разработки модели корпоративного обучения учителей элементам цифровой живописи на основе фракталов был проведен анализ источников по трем ключевым блокам: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Научно-педагогические основы цифровизации образования и развития цифровых компетенций педагогов.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Теория и практика корпоративного обучения (как в бизнес-среде, так и в образовательных организациях).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Содержательно-методическая база: фрактальная геометрия в образовании, цифровая живопись и инструментарий для их изучения.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Rule="auto"/>
        <w:ind w:firstLine="425.19685039370086"/>
        <w:jc w:val="both"/>
        <w:rPr>
          <w:rFonts w:ascii="Times New Roman" w:cs="Times New Roman" w:eastAsia="Times New Roman" w:hAnsi="Times New Roman"/>
          <w:color w:val="000000"/>
          <w:sz w:val="30"/>
          <w:szCs w:val="30"/>
        </w:rPr>
      </w:pPr>
      <w:bookmarkStart w:colFirst="0" w:colLast="0" w:name="_aptecuid5ad2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30"/>
          <w:szCs w:val="30"/>
          <w:rtl w:val="0"/>
        </w:rPr>
        <w:t xml:space="preserve">1. Сравнительный анализ подходов к цифровой компетентности педагога</w:t>
      </w:r>
    </w:p>
    <w:tbl>
      <w:tblPr>
        <w:tblStyle w:val="Table1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27.6419481507373"/>
        <w:gridCol w:w="2252.843157007463"/>
        <w:gridCol w:w="2252.843157007463"/>
        <w:gridCol w:w="2592.18354885796"/>
        <w:tblGridChange w:id="0">
          <w:tblGrid>
            <w:gridCol w:w="1927.6419481507373"/>
            <w:gridCol w:w="2252.843157007463"/>
            <w:gridCol w:w="2252.843157007463"/>
            <w:gridCol w:w="2592.18354885796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Автор/Источник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Ключевая концепция/Определение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Акцент в контексте нашего исследования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Общий вывод и точка пересечения</w:t>
            </w:r>
          </w:p>
        </w:tc>
      </w:tr>
      <w:tr>
        <w:trPr>
          <w:cantSplit w:val="0"/>
          <w:trHeight w:val="64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UNESCO, Рамка ИКТ-компетентности учителей (2018)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Три уровня: «Применение знаний», «Углубление знаний», «Создание знаний». Компетенции рассмотрены через призму шести аспектов: понимание роли ИКТ в образовании, учебная программа и оценка, педагогические практики, технические и программные средства, организация и управление, профессиональное развитие.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Делает упор на системный, эволюционный подход. Наше исследование ориентировано на переход от уровня «Применение» (базовые навыки) к уровням «Углубление» и «Создание» (интеграция сложного цифрового контента для развития творчества учащихся).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Совпадение: Обучение должно быть направлено на трансформацию педагогических практик, а не просто на освоение инструментов. Расхождение: Рамка ЮНЕСКО носит общий характер; наше исследование предлагает конкретный контентно-методический «наполнитель» (фракталы+живопись) для достижения этих целей.</w:t>
            </w:r>
          </w:p>
        </w:tc>
      </w:tr>
      <w:tr>
        <w:trPr>
          <w:cantSplit w:val="0"/>
          <w:trHeight w:val="50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Е.К. Хеннер, модель ИКТ-компетентности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Структура включает инвариантные (общие) и вариативные (предметно-ориентированные) компоненты. Подчеркивается важность методической компетенции — умения применять ИКТ для решения педагогических задач в конкретной предметной области.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Напрямую обосновывает необходимость предметно-ориентированных программ повышения квалификации. Наша модель направлена на формирование именно вариативной компоненты для учителей, работающих в области STEM/STEAM.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Совпадение: Критическая важность методического компонента. Наша модель корпоративного обучения строится как раз вокруг создания готовых методических продуктов (заданий, проектов).</w:t>
            </w:r>
          </w:p>
        </w:tc>
      </w:tr>
      <w:tr>
        <w:trPr>
          <w:cantSplit w:val="0"/>
          <w:trHeight w:val="42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Исследования по цифровому искусству в школе (Л.А. Неменская, А.А. Мелик-Пашаев)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Цифровое искусство рассматривается как новый вид художественной деятельности, требующий от учителя не только технических навыков, но и художественно-педагогического мышления. Важен синтез технологического и эстетического.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Задает содержательный вектор для блока «цифровая живопись». Изучение фракталов — это не просто математика, а поиск эстетической гармонии, что соответствует концепции художественного образования.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Совпадение: Подтверждает необходимость выхода за рамки технического ремесла. Наша модель должна включать рефлексию эстетического и философского потенциала фракталов.</w:t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Rule="auto"/>
        <w:ind w:firstLine="425.19685039370086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Синтез по блоку 1: Анализ показывает, что современные требования к педагогу выходят далеко за рамки базовой компьютерной грамотности. Необходимы интегративные, творческие, методически оснащенные компетенции. Предлагаемая тема (фрактальная живопись) идеально ложится в этот запрос, но требует особой, практико-ориентированной формы освоения.</w:t>
      </w:r>
    </w:p>
    <w:p w:rsidR="00000000" w:rsidDel="00000000" w:rsidP="00000000" w:rsidRDefault="00000000" w:rsidRPr="00000000" w14:paraId="00000018">
      <w:pPr>
        <w:ind w:firstLine="425.19685039370086"/>
        <w:jc w:val="both"/>
        <w:rPr>
          <w:rFonts w:ascii="Times New Roman" w:cs="Times New Roman" w:eastAsia="Times New Roman" w:hAnsi="Times New Roman"/>
          <w:color w:val="000000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30"/>
          <w:szCs w:val="30"/>
          <w:rtl w:val="0"/>
        </w:rPr>
        <w:t xml:space="preserve">2. Сравнительный анализ моделей корпоративного и непрерывного педагогического образования</w:t>
      </w:r>
    </w:p>
    <w:tbl>
      <w:tblPr>
        <w:tblStyle w:val="Table2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31.5369156261327"/>
        <w:gridCol w:w="2327.1847922775346"/>
        <w:gridCol w:w="2497.1212071294435"/>
        <w:gridCol w:w="2369.668895990512"/>
        <w:tblGridChange w:id="0">
          <w:tblGrid>
            <w:gridCol w:w="1831.5369156261327"/>
            <w:gridCol w:w="2327.1847922775346"/>
            <w:gridCol w:w="2497.1212071294435"/>
            <w:gridCol w:w="2369.668895990512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Автор/Источник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Ключевая концепция/Модель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Сильные стороны для нашего исследования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Ограничения / Уточнения для нашей модели</w:t>
            </w:r>
          </w:p>
        </w:tc>
      </w:tr>
      <w:tr>
        <w:trPr>
          <w:cantSplit w:val="0"/>
          <w:trHeight w:val="50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П. Сенге, «Обучающаяся организация»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Организация, где люди постоянно расширяют возможности для создания желаемых результатов, где культивируется новое мышление, где коллективные устремления свободны. Пять дисциплин: системное мышление, личное мастерство, ментальные модели, общее видение, командное обучение.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Дает философско-управленческую основу. Корпоративное обучение в школе должно быть направлено на создание именно такой среды. Командное обучение — ключевой принцип для междисциплинарных групп учителей.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Концепция масштабна и требует длительной трансформации культуры школы. Наша модель может рассматриваться как конкретный инструмент для запуска процессов командного обучения вокруг инновационного контента.</w:t>
            </w:r>
          </w:p>
        </w:tc>
      </w:tr>
      <w:tr>
        <w:trPr>
          <w:cantSplit w:val="0"/>
          <w:trHeight w:val="401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Модель «Professional Learning Community» (PLC)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Постоянно действующее профессиональное сообщество педагогов, объединенных общей целью, совместной деятельностью и коллективной ответственностью за результаты. Акцент на взаимообучении, рефлексии и обмене практикой.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Прямая проекция на нашу задачу. Обучение учителей фрактальной живописи эффективнее всего организовать как работу PLC, где они совместно создают, апробируют и анализируют учебные материалы.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Требует четкой структуры и модерации, особенно на старте. В нашей модели роль тьютора/модератора (внешнего или внутреннего) является критически важной.</w:t>
            </w:r>
          </w:p>
        </w:tc>
      </w:tr>
      <w:tr>
        <w:trPr>
          <w:cantSplit w:val="0"/>
          <w:trHeight w:val="32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Job-embedded learning (Обучение, встроенное в работу)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Принцип, согласно которому наиболее эффективное обучение происходит на рабочем месте, связано с реальными задачами педагога и немедленно находит практическое применение.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Является краеугольным камнем предлагаемого подхода. Обучение не оторвано от школы, а напрямую связано с подготовкой к реальным урокам или проектам. Это повышает мотивацию и результативность.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Необходимо тщательное проектирование такой программы, чтобы она не превратилась в дополнительную нагрузку, а стала частью плановой работы (методобъединения, проектные группы).</w:t>
            </w:r>
          </w:p>
        </w:tc>
      </w:tr>
    </w:tbl>
    <w:p w:rsidR="00000000" w:rsidDel="00000000" w:rsidP="00000000" w:rsidRDefault="00000000" w:rsidRPr="00000000" w14:paraId="00000029">
      <w:pPr>
        <w:spacing w:after="240" w:before="240" w:lineRule="auto"/>
        <w:ind w:firstLine="425.19685039370086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Синтез по блоку 2: Традиционные курсы повышения квалификации («привозные» знания) уступают в эффективности моделям, основанным на сообществах практиков (PLC) и обучении, встроенному в контекст работы (job-embedded). Наша модель должна заимствовать их принципы: коллаборация, общая цель (создание методического продукта), рефлексия практики, руководство процессом.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Rule="auto"/>
        <w:ind w:firstLine="425.19685039370086"/>
        <w:jc w:val="both"/>
        <w:rPr>
          <w:rFonts w:ascii="Times New Roman" w:cs="Times New Roman" w:eastAsia="Times New Roman" w:hAnsi="Times New Roman"/>
          <w:color w:val="000000"/>
          <w:sz w:val="30"/>
          <w:szCs w:val="30"/>
        </w:rPr>
      </w:pPr>
      <w:bookmarkStart w:colFirst="0" w:colLast="0" w:name="_ubep8n4cbm65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sz w:val="30"/>
          <w:szCs w:val="30"/>
          <w:rtl w:val="0"/>
        </w:rPr>
        <w:t xml:space="preserve">3. Сравнительный анализ содержательного блока: фракталы и цифровая живопись</w:t>
      </w:r>
    </w:p>
    <w:tbl>
      <w:tblPr>
        <w:tblStyle w:val="Table3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28.0552169472544"/>
        <w:gridCol w:w="2171.409745329951"/>
        <w:gridCol w:w="2157.248377425625"/>
        <w:gridCol w:w="2468.798471320792"/>
        <w:tblGridChange w:id="0">
          <w:tblGrid>
            <w:gridCol w:w="2228.0552169472544"/>
            <w:gridCol w:w="2171.409745329951"/>
            <w:gridCol w:w="2157.248377425625"/>
            <w:gridCol w:w="2468.798471320792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Автор/Источник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Направление/Фокус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Потенциал для педагогики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Выявленный дефицит</w:t>
            </w:r>
          </w:p>
        </w:tc>
      </w:tr>
      <w:tr>
        <w:trPr>
          <w:cantSplit w:val="0"/>
          <w:trHeight w:val="293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Б. Мандельброт, «Фрактальная геометрия природы»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Фундаментальный труд, связывающий сложные математические объекты с формами реального мира.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Дает глубокое содержательное обоснование. Позволяет строить занятия на стыке математики, природоведения, искусства и философии («гармония хаоса»).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Материал сложен для прямого переноса в школу. Требуется дидактическая адаптация и поиск доступных инструментов для визуализации.</w:t>
            </w:r>
          </w:p>
        </w:tc>
      </w:tr>
      <w:tr>
        <w:trPr>
          <w:cantSplit w:val="0"/>
          <w:trHeight w:val="32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Практические руководства по созданию фракталов (ресурсы типа Fractalforums.com, YouTube-каналы)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Огромный массив прикладных инструкций по работе с программами (Apophysis, Mandelbulb 3D).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Неисчерпаемый источник идей и конкретных технических приемов. Демонстрируют творческий потенциал фрактального искусства.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Полностью отсутствует педагогический компонент. Нет ответов на вопросы: как научить этому ребенка? Какие задания дать? Как оценить результат? Как связать с программой?</w:t>
            </w:r>
          </w:p>
        </w:tc>
      </w:tr>
      <w:tr>
        <w:trPr>
          <w:cantSplit w:val="0"/>
          <w:trHeight w:val="42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Отечественные методические разработки (статьи в журналах «Информатика в школе», «Математика в школе»)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Единичные работы, предлагающие введение фракталов на уроках информатики или математики через программирование (Лого, Паскаль).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Подтверждают образовательный интерес к теме и предлагают некоторые алгоритмические подходы.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1. Узкопредметны (только информатика/математика).</w:t>
            </w:r>
          </w:p>
          <w:p w:rsidR="00000000" w:rsidDel="00000000" w:rsidP="00000000" w:rsidRDefault="00000000" w:rsidRPr="00000000" w14:paraId="0000003B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2. Часто требуют навыков программирования, что сужает круг учеников и учителей.</w:t>
            </w:r>
          </w:p>
          <w:p w:rsidR="00000000" w:rsidDel="00000000" w:rsidP="00000000" w:rsidRDefault="00000000" w:rsidRPr="00000000" w14:paraId="0000003C">
            <w:pPr>
              <w:ind w:firstLine="425.19685039370086"/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3. Не используют современный арсенал специализированного ПО для фрактального искусства, более наглядного и творческого.</w:t>
            </w:r>
          </w:p>
        </w:tc>
      </w:tr>
    </w:tbl>
    <w:p w:rsidR="00000000" w:rsidDel="00000000" w:rsidP="00000000" w:rsidRDefault="00000000" w:rsidRPr="00000000" w14:paraId="0000003D">
      <w:pPr>
        <w:spacing w:after="240" w:before="240" w:lineRule="auto"/>
        <w:ind w:firstLine="425.19685039370086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Синтез по блоку 3: Существует разрыв между мощным научно-творческим потенциалом фрактальной графики и бедностью адаптированных, междисциплинарных, практико-ориентированных педагогических методик ее использования. Наше исследование призвано преодолеть этот разрыв, подобрав доступный инструментарий (ПО) и встроив его в модель корпоративного обучения учителей, результатом которого станут именно такие методики.</w:t>
      </w:r>
    </w:p>
    <w:p w:rsidR="00000000" w:rsidDel="00000000" w:rsidP="00000000" w:rsidRDefault="00000000" w:rsidRPr="00000000" w14:paraId="0000003E">
      <w:pPr>
        <w:ind w:firstLine="425.19685039370086"/>
        <w:jc w:val="both"/>
        <w:rPr>
          <w:rFonts w:ascii="Times New Roman" w:cs="Times New Roman" w:eastAsia="Times New Roman" w:hAnsi="Times New Roman"/>
          <w:color w:val="000000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30"/>
          <w:szCs w:val="30"/>
          <w:rtl w:val="0"/>
        </w:rPr>
        <w:t xml:space="preserve">Общий вывод сопоставительного анализа:</w:t>
      </w:r>
    </w:p>
    <w:p w:rsidR="00000000" w:rsidDel="00000000" w:rsidP="00000000" w:rsidRDefault="00000000" w:rsidRPr="00000000" w14:paraId="0000003F">
      <w:pPr>
        <w:spacing w:after="240" w:before="24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Выявлена значимая ниша: Сопоставление источников выявило четкую, не заполненную нишу на пересечении трех областей:</w:t>
        <w:br w:type="textWrapping"/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spacing w:after="0" w:afterAutospacing="0" w:before="240" w:lineRule="auto"/>
        <w:ind w:left="1440" w:hanging="1014.803149606299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Запрос на высокоуровневые цифровые и творческие компетенции учителей (Блок 1).</w:t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spacing w:after="0" w:afterAutospacing="0" w:before="0" w:beforeAutospacing="0" w:lineRule="auto"/>
        <w:ind w:left="1440" w:hanging="1014.803149606299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Эффективность форматов корпоративного и совместного обучения (Блок 2).</w:t>
      </w:r>
    </w:p>
    <w:p w:rsidR="00000000" w:rsidDel="00000000" w:rsidP="00000000" w:rsidRDefault="00000000" w:rsidRPr="00000000" w14:paraId="00000042">
      <w:pPr>
        <w:numPr>
          <w:ilvl w:val="1"/>
          <w:numId w:val="1"/>
        </w:numPr>
        <w:spacing w:after="240" w:before="0" w:beforeAutospacing="0" w:lineRule="auto"/>
        <w:ind w:left="1440" w:hanging="1014.803149606299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Недостаточная методическая проработка перспективной темы «Фракталы в цифровом искусстве» для школы.</w:t>
      </w:r>
    </w:p>
    <w:p w:rsidR="00000000" w:rsidDel="00000000" w:rsidP="00000000" w:rsidRDefault="00000000" w:rsidRPr="00000000" w14:paraId="00000043">
      <w:pPr>
        <w:spacing w:after="240" w:before="24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Обоснована новизна: Предлагаемая модель корпоративного проектного обучения является логичным синтезом выявленных эффективных подходов:</w:t>
        <w:br w:type="textWrapping"/>
      </w:r>
    </w:p>
    <w:p w:rsidR="00000000" w:rsidDel="00000000" w:rsidP="00000000" w:rsidRDefault="00000000" w:rsidRPr="00000000" w14:paraId="00000044">
      <w:pPr>
        <w:numPr>
          <w:ilvl w:val="1"/>
          <w:numId w:val="1"/>
        </w:numPr>
        <w:spacing w:after="0" w:afterAutospacing="0" w:before="240" w:lineRule="auto"/>
        <w:ind w:left="1440" w:hanging="1014.803149606299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 ЮНЕСКО и Хеннера — берется цель: переход к компетенциям «создания знаний» и развитие предметно-методической ИКТ-компетентности.</w:t>
      </w:r>
    </w:p>
    <w:p w:rsidR="00000000" w:rsidDel="00000000" w:rsidP="00000000" w:rsidRDefault="00000000" w:rsidRPr="00000000" w14:paraId="00000045">
      <w:pPr>
        <w:numPr>
          <w:ilvl w:val="1"/>
          <w:numId w:val="1"/>
        </w:numPr>
        <w:spacing w:after="0" w:afterAutospacing="0" w:before="0" w:beforeAutospacing="0" w:lineRule="auto"/>
        <w:ind w:left="1440" w:hanging="1014.803149606299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 Сенге и PLC — берется форма: обучение в профессиональном сообществе с общей целью.</w:t>
      </w:r>
    </w:p>
    <w:p w:rsidR="00000000" w:rsidDel="00000000" w:rsidP="00000000" w:rsidRDefault="00000000" w:rsidRPr="00000000" w14:paraId="00000046">
      <w:pPr>
        <w:numPr>
          <w:ilvl w:val="1"/>
          <w:numId w:val="1"/>
        </w:numPr>
        <w:spacing w:after="0" w:afterAutospacing="0" w:before="0" w:beforeAutospacing="0" w:lineRule="auto"/>
        <w:ind w:left="1440" w:hanging="1014.803149606299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 job-embedded learning — берется принцип: немедленная связь с реальной педагогической практикой.</w:t>
      </w:r>
    </w:p>
    <w:p w:rsidR="00000000" w:rsidDel="00000000" w:rsidP="00000000" w:rsidRDefault="00000000" w:rsidRPr="00000000" w14:paraId="00000047">
      <w:pPr>
        <w:numPr>
          <w:ilvl w:val="1"/>
          <w:numId w:val="1"/>
        </w:numPr>
        <w:spacing w:after="240" w:before="0" w:beforeAutospacing="0" w:lineRule="auto"/>
        <w:ind w:left="1440" w:hanging="1014.803149606299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На содержательном уровне (Мандельброт, практические руководства) исследование предлагает преодолеть дефицит путем создания структурированной программы, адаптирующей сложный материал для школьного обучения.</w:t>
      </w:r>
    </w:p>
    <w:p w:rsidR="00000000" w:rsidDel="00000000" w:rsidP="00000000" w:rsidRDefault="00000000" w:rsidRPr="00000000" w14:paraId="00000048">
      <w:pPr>
        <w:spacing w:after="240" w:before="24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Определены направления разработки: Для параграфа 1.1 и всей работы становится очевидной необходимость:</w:t>
        <w:br w:type="textWrapping"/>
      </w:r>
    </w:p>
    <w:p w:rsidR="00000000" w:rsidDel="00000000" w:rsidP="00000000" w:rsidRDefault="00000000" w:rsidRPr="00000000" w14:paraId="00000049">
      <w:pPr>
        <w:numPr>
          <w:ilvl w:val="1"/>
          <w:numId w:val="1"/>
        </w:numPr>
        <w:spacing w:after="0" w:afterAutospacing="0" w:before="240" w:lineRule="auto"/>
        <w:ind w:left="1440" w:hanging="1014.803149606299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Четко спроектировать этапы корпоративного обучения (от знакомства с теорией фракталов до создания и апробации урока).</w:t>
      </w:r>
    </w:p>
    <w:p w:rsidR="00000000" w:rsidDel="00000000" w:rsidP="00000000" w:rsidRDefault="00000000" w:rsidRPr="00000000" w14:paraId="0000004A">
      <w:pPr>
        <w:numPr>
          <w:ilvl w:val="1"/>
          <w:numId w:val="1"/>
        </w:numPr>
        <w:spacing w:after="0" w:afterAutospacing="0" w:before="0" w:beforeAutospacing="0" w:lineRule="auto"/>
        <w:ind w:left="1440" w:hanging="1014.803149606299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Подобрать и обосновать выбор конкретного программного обеспечения, оптимального для использования в школе.</w:t>
      </w:r>
    </w:p>
    <w:p w:rsidR="00000000" w:rsidDel="00000000" w:rsidP="00000000" w:rsidRDefault="00000000" w:rsidRPr="00000000" w14:paraId="0000004B">
      <w:pPr>
        <w:numPr>
          <w:ilvl w:val="1"/>
          <w:numId w:val="1"/>
        </w:numPr>
        <w:spacing w:after="240" w:before="0" w:beforeAutospacing="0" w:lineRule="auto"/>
        <w:ind w:left="1440" w:hanging="1014.8031496062991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Разработать структуру итогового методического портфолио учителя, которое было бы продуктом этого обучения.</w:t>
      </w:r>
    </w:p>
    <w:p w:rsidR="00000000" w:rsidDel="00000000" w:rsidP="00000000" w:rsidRDefault="00000000" w:rsidRPr="00000000" w14:paraId="0000004C">
      <w:pPr>
        <w:spacing w:after="240" w:before="240" w:lineRule="auto"/>
        <w:ind w:left="720" w:hanging="294.80314960629914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Таким образом, сопоставительный анализ не только подтвердил актуальность темы, но и позволил интегрировать разрозненные идеи из разных областей знания в единую, обоснованную концепцию исследования.</w:t>
      </w:r>
    </w:p>
    <w:p w:rsidR="00000000" w:rsidDel="00000000" w:rsidP="00000000" w:rsidRDefault="00000000" w:rsidRPr="00000000" w14:paraId="0000004D">
      <w:pPr>
        <w:ind w:firstLine="425.19685039370086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17.3228346456694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  <w:style w:type="table" w:styleId="Table2">
    <w:basedOn w:val="TableNormal"/>
    <w:tblPr>
      <w:tblStyleRowBandSize w:val="1"/>
      <w:tblStyleColBandSize w:val="1"/>
      <w:tblCellMar/>
    </w:tblPr>
  </w:style>
  <w:style w:type="table" w:styleId="Table3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