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D92024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D92024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F4E5E1A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306DE8E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CDB4770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ИНСТИТУТ ИНФОРМАЦИОННЫХ ТЕХНОЛОГИЙ И </w:t>
      </w: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14:paraId="5D3D408D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B95ADB2" w14:textId="77777777" w:rsidR="000B255C" w:rsidRPr="00D92024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64B86F4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19E366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9357733" w14:textId="05290806" w:rsidR="000B255C" w:rsidRPr="00D92024" w:rsidRDefault="00B277A2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9A8BF4D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32AD3BF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D09EF5F" w14:textId="0BC740A3" w:rsidR="000B255C" w:rsidRPr="00D92024" w:rsidRDefault="00612EB4" w:rsidP="000B255C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Вариативная </w:t>
      </w:r>
      <w:r w:rsidR="00B277A2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Самостоятельная Работа</w:t>
      </w:r>
      <w:r w:rsidR="00BE3A63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2.</w:t>
      </w:r>
      <w:r w:rsidR="00D92024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2</w:t>
      </w:r>
      <w:r w:rsidR="00237F69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.1</w:t>
      </w:r>
    </w:p>
    <w:p w14:paraId="3130F710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E8A7E0C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62A0514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5947311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1070330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E82FBB3" w14:textId="6C7BEBEB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Группа: </w:t>
      </w:r>
      <w:r w:rsidR="006E56DB"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ом_КЭО/24</w:t>
      </w:r>
    </w:p>
    <w:p w14:paraId="7C5FFBB2" w14:textId="02A7318B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14:paraId="0947E935" w14:textId="77777777" w:rsidR="000B255C" w:rsidRPr="00D92024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Санкт-Петербург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  <w:t>2025</w:t>
      </w:r>
    </w:p>
    <w:p w14:paraId="26CA4E61" w14:textId="7441D044" w:rsidR="000B255C" w:rsidRPr="00D92024" w:rsidRDefault="00D92024" w:rsidP="000B255C">
      <w:pPr>
        <w:spacing w:after="16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Список литературы</w:t>
      </w:r>
    </w:p>
    <w:p w14:paraId="5EA9165A" w14:textId="576A15BD" w:rsidR="00D70453" w:rsidRPr="00D92024" w:rsidRDefault="0053577B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3577B">
        <w:rPr>
          <w:rFonts w:ascii="Times New Roman" w:eastAsia="Times New Roman" w:hAnsi="Times New Roman" w:cs="Times New Roman"/>
          <w:noProof/>
          <w:kern w:val="0"/>
          <w:lang w:eastAsia="ru-RU"/>
        </w:rPr>
        <w:pict w14:anchorId="65269D0C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6FA4B881" w14:textId="77777777" w:rsidR="00D92024" w:rsidRPr="00D92024" w:rsidRDefault="00D92024" w:rsidP="00D92024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рамках подготовки выпускной квалификационной работы по теме «Персонализированные дидактические материалы для адаптивного электронного обучения в корпоративном секторе» был составлен список интернет-ресурсов, отражающий ключевые аспекты темы: от теоретических основ адаптивных систем до практических примеров внедрения в корпоративной среде. Подборка включает научные статьи, аналитические обзоры, отчеты и материалы платформ, доступные в открытом доступе. Оформление выполнено в соответствии с требованиями ГОСТ Р 7.0.5-2008, с учетом специфики электронных ресурсов: указанием URL и даты обращения (27.10.2025). Источники сгруппированы по релевантности, начиная с общих теоретических работ и переходя к эмпирическим и практическим примерам, что обеспечивает баланс между фундаментальными исследованиями и современными тенденциями. Общий объем списка – 15 позиций, что позволяет охватить междисциплинарный характер темы, объединяющей педагогику, информационные технологии и менеджмент человеческих ресурсов.</w:t>
      </w:r>
    </w:p>
    <w:p w14:paraId="1D4725CD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Адаптивные ИИ-системы для персонализированного профессионального обучения // CyberLeninka. – 2023. – URL: </w:t>
      </w:r>
      <w:hyperlink r:id="rId5" w:tgtFrame="_blank" w:history="1">
        <w:r w:rsidRPr="00D92024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https://cyberleninka.ru/article/n/adaptivnye-ii-sistemy-dlya-personalizirovannogo-professionalnogo-obucheniya</w:t>
        </w:r>
      </w:hyperlink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(дата обращения: 27.10.2025).</w:t>
      </w:r>
    </w:p>
    <w:p w14:paraId="4D81E364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Adaptive Learning Market Industry Report 2025, with Profiles of ... // Yahoo Finance. – 2025. – URL: </w:t>
      </w:r>
      <w:hyperlink r:id="rId6" w:tgtFrame="_blank" w:history="1">
        <w:r w:rsidRPr="00D92024">
          <w:rPr>
            <w:rFonts w:ascii="Times New Roman" w:eastAsia="Times New Roman" w:hAnsi="Times New Roman" w:cs="Times New Roman"/>
            <w:kern w:val="0"/>
            <w:lang w:val="en-US" w:eastAsia="ru-RU"/>
            <w14:ligatures w14:val="none"/>
          </w:rPr>
          <w:t>https://finance.yahoo.com/news/adaptive-learning-market-industry-report-160400652.html</w:t>
        </w:r>
      </w:hyperlink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(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0AFD5CD5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Adaptive Learning Using Artificial Intelligence in e-Learning // MDPI. – 2023. – URL: </w:t>
      </w:r>
      <w:hyperlink r:id="rId7" w:tgtFrame="_blank" w:history="1">
        <w:r w:rsidRPr="00D92024">
          <w:rPr>
            <w:rFonts w:ascii="Times New Roman" w:eastAsia="Times New Roman" w:hAnsi="Times New Roman" w:cs="Times New Roman"/>
            <w:kern w:val="0"/>
            <w:lang w:val="en-US" w:eastAsia="ru-RU"/>
            <w14:ligatures w14:val="none"/>
          </w:rPr>
          <w:t>https://www.mdpi.com/2227-7102/13/12/1216</w:t>
        </w:r>
      </w:hyperlink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(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34DF0144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Дидактические принципы цифрового образовательного процесса // SIKE. – 2024. – URL: </w:t>
      </w:r>
      <w:hyperlink r:id="rId8" w:tgtFrame="_blank" w:history="1">
        <w:r w:rsidRPr="00D92024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https://sike.ru/didakticheskie-principy-cifrovogo-obrazovatelnogo-processa</w:t>
        </w:r>
      </w:hyperlink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(дата обращения: 27.10.2025).</w:t>
      </w:r>
    </w:p>
    <w:p w14:paraId="6A4055C8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Новая адаптивная модель корпоративного обучения // CyberLeninka. – 2023. – URL: </w:t>
      </w:r>
      <w:hyperlink r:id="rId9" w:tgtFrame="_blank" w:history="1">
        <w:r w:rsidRPr="00D92024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https://cyberleninka.ru/article/n/novaya-adaptivnaya-model-korporativnogo-obucheniya</w:t>
        </w:r>
      </w:hyperlink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(дата обращения: 27.10.2025).</w:t>
      </w:r>
    </w:p>
    <w:p w14:paraId="4127CFD2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Особенности применения корпоративных систем ... [Электронный ресурс] // HSE Publications. – 2023. – URL: </w:t>
      </w:r>
      <w:hyperlink r:id="rId10" w:tgtFrame="_blank" w:history="1">
        <w:r w:rsidRPr="00D92024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https://publications.hse.ru/pubs/share/direct/571147489.pdf</w:t>
        </w:r>
      </w:hyperlink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(дата обращения: 27.10.2025).</w:t>
      </w:r>
    </w:p>
    <w:p w14:paraId="2F5C6FED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Перспективы рынка онлайн-обучения // Bestclevers LMS. – 2025. – URL: </w:t>
      </w:r>
      <w:hyperlink r:id="rId11" w:tgtFrame="_blank" w:history="1">
        <w:r w:rsidRPr="00D92024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https://bestcleverslms.com/ru/poznavatelnoe/perspektyv-r-nka-onlayn-obuchenyia/</w:t>
        </w:r>
      </w:hyperlink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(дата обращения: 27.10.2025).</w:t>
      </w:r>
    </w:p>
    <w:p w14:paraId="083E9943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Personalized adaptive learning in higher education: A scoping ... // ScienceDirect. – 2024. – URL: </w:t>
      </w:r>
      <w:hyperlink r:id="rId12" w:tgtFrame="_blank" w:history="1">
        <w:r w:rsidRPr="00D92024">
          <w:rPr>
            <w:rFonts w:ascii="Times New Roman" w:eastAsia="Times New Roman" w:hAnsi="Times New Roman" w:cs="Times New Roman"/>
            <w:kern w:val="0"/>
            <w:lang w:val="en-US" w:eastAsia="ru-RU"/>
            <w14:ligatures w14:val="none"/>
          </w:rPr>
          <w:t>https://www.sciencedirect.com/science/article/pii/S2405844024156617</w:t>
        </w:r>
      </w:hyperlink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(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648A61B9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Six Ways Adaptive Learning Can Elevate Corporate Training // Training Industry. – 2018. – URL: </w:t>
      </w:r>
      <w:hyperlink r:id="rId13" w:tgtFrame="_blank" w:history="1">
        <w:r w:rsidRPr="00D92024">
          <w:rPr>
            <w:rFonts w:ascii="Times New Roman" w:eastAsia="Times New Roman" w:hAnsi="Times New Roman" w:cs="Times New Roman"/>
            <w:kern w:val="0"/>
            <w:lang w:val="en-US" w:eastAsia="ru-RU"/>
            <w14:ligatures w14:val="none"/>
          </w:rPr>
          <w:t>https://trainingindustry.com/magazine/jan-feb-2018/six-ways-adaptive-learning-can-elevate-corporate-training/</w:t>
        </w:r>
      </w:hyperlink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(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2BD3F3DD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5 examples of adaptive learning design in corporate training // Easy Generator. – 2025. – URL: </w:t>
      </w:r>
      <w:hyperlink r:id="rId14" w:tgtFrame="_blank" w:history="1">
        <w:r w:rsidRPr="00D92024">
          <w:rPr>
            <w:rFonts w:ascii="Times New Roman" w:eastAsia="Times New Roman" w:hAnsi="Times New Roman" w:cs="Times New Roman"/>
            <w:kern w:val="0"/>
            <w:lang w:val="en-US" w:eastAsia="ru-RU"/>
            <w14:ligatures w14:val="none"/>
          </w:rPr>
          <w:t>https://www.easygenerator.com/en/blog/e-learning/adaptive-learning-design-examples/</w:t>
        </w:r>
      </w:hyperlink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(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7D3F3036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Тренды в обучении для IT в 2025 году // Courseditor. – 2025. – URL: </w:t>
      </w:r>
      <w:hyperlink r:id="rId15" w:tgtFrame="_blank" w:history="1">
        <w:r w:rsidRPr="00D92024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https://courseditor.ru/articles/trendy-v-obuchenii-dlya-it-sektora-v-2025-godu-iskusstvennyj-intellekt-vr-i-drugie-innovacii</w:t>
        </w:r>
      </w:hyperlink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(дата обращения: 27.10.2025).</w:t>
      </w:r>
    </w:p>
    <w:p w14:paraId="7C297A08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The Complete Guide to Building Impactful Personalized Employee ... // LumApps. – 2025. – URL: </w:t>
      </w:r>
      <w:hyperlink r:id="rId16" w:tgtFrame="_blank" w:history="1">
        <w:r w:rsidRPr="00D92024">
          <w:rPr>
            <w:rFonts w:ascii="Times New Roman" w:eastAsia="Times New Roman" w:hAnsi="Times New Roman" w:cs="Times New Roman"/>
            <w:kern w:val="0"/>
            <w:lang w:val="en-US" w:eastAsia="ru-RU"/>
            <w14:ligatures w14:val="none"/>
          </w:rPr>
          <w:t>https://www.lumapps.com/insights/blog/the-complete-guide-to-building-impactful-personalized-employee-learning</w:t>
        </w:r>
      </w:hyperlink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(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5E3B6CD5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lastRenderedPageBreak/>
        <w:t xml:space="preserve">The method of personalized corporate e-learning based on ...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[Электронный ресурс] // ResearchGate. – 2018. – URL: </w:t>
      </w:r>
      <w:hyperlink r:id="rId17" w:tgtFrame="_blank" w:history="1">
        <w:r w:rsidRPr="00D92024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https://www.researchgate.net/publication/327901676_The_method_of_personalized_corporate_e-learning_based_on_personal_traits_of_employees</w:t>
        </w:r>
      </w:hyperlink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(дата обращения: 27.10.2025).</w:t>
      </w:r>
    </w:p>
    <w:p w14:paraId="28CAFED2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The Power of Personalization in ELearning: Benefits and Success ... // Kyteway eLearning. – 2024. – URL: </w:t>
      </w:r>
      <w:hyperlink r:id="rId18" w:tgtFrame="_blank" w:history="1">
        <w:r w:rsidRPr="00D92024">
          <w:rPr>
            <w:rFonts w:ascii="Times New Roman" w:eastAsia="Times New Roman" w:hAnsi="Times New Roman" w:cs="Times New Roman"/>
            <w:kern w:val="0"/>
            <w:lang w:val="en-US" w:eastAsia="ru-RU"/>
            <w14:ligatures w14:val="none"/>
          </w:rPr>
          <w:t>https://www.kytewayelearning.com/article/the-power-of-personalization-in-elearning</w:t>
        </w:r>
      </w:hyperlink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(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дата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обращения</w:t>
      </w:r>
      <w:r w:rsidRPr="00D92024"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  <w:t>: 27.10.2025).</w:t>
      </w:r>
    </w:p>
    <w:p w14:paraId="0E9E9728" w14:textId="77777777" w:rsidR="00D92024" w:rsidRPr="00D92024" w:rsidRDefault="00D92024" w:rsidP="00D920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9 цифровых платформ для обучения персонала // iSpring. – 2023. – URL: </w:t>
      </w:r>
      <w:hyperlink r:id="rId19" w:tgtFrame="_blank" w:history="1">
        <w:r w:rsidRPr="00D92024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https://www.ispring.ru/elearning-insights/9-cifrovih-platform-dlya-obucheniya-personala</w:t>
        </w:r>
      </w:hyperlink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(дата обращения: 27.10.2025).</w:t>
      </w:r>
    </w:p>
    <w:p w14:paraId="75199D57" w14:textId="65BCBB7B" w:rsidR="00D92024" w:rsidRPr="00D92024" w:rsidRDefault="00D92024" w:rsidP="00D92024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Данный список литературы интегрируется в структуру диссертации как завершающий раздел. Он подчеркивает динамику развития темы, с акцентом на публикации 2023–2025 годов, отражающие актуальные инновации в области ИИ и персонализации.</w:t>
      </w:r>
    </w:p>
    <w:p w14:paraId="7310AE9B" w14:textId="67FC3485" w:rsidR="00BE3A63" w:rsidRPr="00D92024" w:rsidRDefault="00BE3A63" w:rsidP="0014006E">
      <w:pPr>
        <w:rPr>
          <w:rFonts w:ascii="Times New Roman" w:hAnsi="Times New Roman" w:cs="Times New Roman"/>
        </w:rPr>
      </w:pPr>
    </w:p>
    <w:sectPr w:rsidR="00BE3A63" w:rsidRPr="00D92024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4A7EFA"/>
    <w:multiLevelType w:val="multilevel"/>
    <w:tmpl w:val="2B827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3"/>
  </w:num>
  <w:num w:numId="2" w16cid:durableId="293410613">
    <w:abstractNumId w:val="4"/>
  </w:num>
  <w:num w:numId="3" w16cid:durableId="327755981">
    <w:abstractNumId w:val="15"/>
  </w:num>
  <w:num w:numId="4" w16cid:durableId="1949466403">
    <w:abstractNumId w:val="14"/>
  </w:num>
  <w:num w:numId="5" w16cid:durableId="1513951384">
    <w:abstractNumId w:val="8"/>
  </w:num>
  <w:num w:numId="6" w16cid:durableId="822509553">
    <w:abstractNumId w:val="10"/>
  </w:num>
  <w:num w:numId="7" w16cid:durableId="1683165743">
    <w:abstractNumId w:val="0"/>
  </w:num>
  <w:num w:numId="8" w16cid:durableId="1618101040">
    <w:abstractNumId w:val="12"/>
  </w:num>
  <w:num w:numId="9" w16cid:durableId="1066226177">
    <w:abstractNumId w:val="11"/>
  </w:num>
  <w:num w:numId="10" w16cid:durableId="1580140391">
    <w:abstractNumId w:val="7"/>
  </w:num>
  <w:num w:numId="11" w16cid:durableId="883097974">
    <w:abstractNumId w:val="6"/>
  </w:num>
  <w:num w:numId="12" w16cid:durableId="1079716730">
    <w:abstractNumId w:val="2"/>
  </w:num>
  <w:num w:numId="13" w16cid:durableId="130753111">
    <w:abstractNumId w:val="5"/>
  </w:num>
  <w:num w:numId="14" w16cid:durableId="1893038216">
    <w:abstractNumId w:val="1"/>
  </w:num>
  <w:num w:numId="15" w16cid:durableId="1521969340">
    <w:abstractNumId w:val="9"/>
  </w:num>
  <w:num w:numId="16" w16cid:durableId="1169323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14006E"/>
    <w:rsid w:val="00237F69"/>
    <w:rsid w:val="00243105"/>
    <w:rsid w:val="002444CF"/>
    <w:rsid w:val="004C1464"/>
    <w:rsid w:val="0053577B"/>
    <w:rsid w:val="005F4926"/>
    <w:rsid w:val="00612EB4"/>
    <w:rsid w:val="006E56DB"/>
    <w:rsid w:val="008D5500"/>
    <w:rsid w:val="00A04786"/>
    <w:rsid w:val="00B277A2"/>
    <w:rsid w:val="00BE3A63"/>
    <w:rsid w:val="00D70453"/>
    <w:rsid w:val="00D92024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  <w:style w:type="character" w:styleId="af">
    <w:name w:val="Hyperlink"/>
    <w:basedOn w:val="a0"/>
    <w:uiPriority w:val="99"/>
    <w:semiHidden/>
    <w:unhideWhenUsed/>
    <w:rsid w:val="00D920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ke.ru/didakticheskie-principy-cifrovogo-obrazovatelnogo-processa" TargetMode="External"/><Relationship Id="rId13" Type="http://schemas.openxmlformats.org/officeDocument/2006/relationships/hyperlink" Target="https://trainingindustry.com/magazine/jan-feb-2018/six-ways-adaptive-learning-can-elevate-corporate-training/" TargetMode="External"/><Relationship Id="rId18" Type="http://schemas.openxmlformats.org/officeDocument/2006/relationships/hyperlink" Target="https://www.kytewayelearning.com/article/the-power-of-personalization-in-elearnin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mdpi.com/2227-7102/13/12/1216" TargetMode="External"/><Relationship Id="rId12" Type="http://schemas.openxmlformats.org/officeDocument/2006/relationships/hyperlink" Target="https://www.sciencedirect.com/science/article/pii/S2405844024156617" TargetMode="External"/><Relationship Id="rId17" Type="http://schemas.openxmlformats.org/officeDocument/2006/relationships/hyperlink" Target="https://www.researchgate.net/publication/327901676_The_method_of_personalized_corporate_e-learning_based_on_personal_traits_of_employe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umapps.com/insights/blog/the-complete-guide-to-building-impactful-personalized-employee-learnin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finance.yahoo.com/news/adaptive-learning-market-industry-report-160400652.html" TargetMode="External"/><Relationship Id="rId11" Type="http://schemas.openxmlformats.org/officeDocument/2006/relationships/hyperlink" Target="https://bestcleverslms.com/ru/poznavatelnoe/perspektyv-r-nka-onlayn-obuchenyia/" TargetMode="External"/><Relationship Id="rId5" Type="http://schemas.openxmlformats.org/officeDocument/2006/relationships/hyperlink" Target="https://cyberleninka.ru/article/n/adaptivnye-ii-sistemy-dlya-personalizirovannogo-professionalnogo-obucheniya" TargetMode="External"/><Relationship Id="rId15" Type="http://schemas.openxmlformats.org/officeDocument/2006/relationships/hyperlink" Target="https://courseditor.ru/articles/trendy-v-obuchenii-dlya-it-sektora-v-2025-godu-iskusstvennyj-intellekt-vr-i-drugie-innovacii" TargetMode="External"/><Relationship Id="rId10" Type="http://schemas.openxmlformats.org/officeDocument/2006/relationships/hyperlink" Target="https://publications.hse.ru/pubs/share/direct/571147489.pdf" TargetMode="External"/><Relationship Id="rId19" Type="http://schemas.openxmlformats.org/officeDocument/2006/relationships/hyperlink" Target="https://www.ispring.ru/elearning-insights/9-cifrovih-platform-dlya-obucheniya-persona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novaya-adaptivnaya-model-korporativnogo-obucheniya" TargetMode="External"/><Relationship Id="rId14" Type="http://schemas.openxmlformats.org/officeDocument/2006/relationships/hyperlink" Target="https://www.easygenerator.com/en/blog/e-learning/adaptive-learning-design-examp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8</cp:revision>
  <dcterms:created xsi:type="dcterms:W3CDTF">2025-10-03T06:45:00Z</dcterms:created>
  <dcterms:modified xsi:type="dcterms:W3CDTF">2025-10-27T16:49:00Z</dcterms:modified>
</cp:coreProperties>
</file>