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3"/>
        <w:rPr>
          <w14:ligatures w14:val="none"/>
        </w:rPr>
      </w:pPr>
      <w:r>
        <w:t xml:space="preserve">Нормативно-правовая база </w:t>
      </w:r>
      <w:r>
        <w:t xml:space="preserve">импортозамещения IT в сфере науки и образования</w:t>
      </w:r>
      <w:r/>
      <w:r/>
    </w:p>
    <w:p>
      <w:pPr>
        <w:rPr>
          <w:highlight w:val="none"/>
        </w:rPr>
      </w:pPr>
      <w:r>
        <w:t xml:space="preserve">В настоящий момент за импортозамещение отвечают два документа. Рассмотрим их в порядке их появления.</w:t>
      </w:r>
      <w:r/>
      <w:r/>
    </w:p>
    <w:p>
      <w:pPr>
        <w:pStyle w:val="15"/>
        <w:rPr>
          <w:highlight w:val="none"/>
          <w14:ligatures w14:val="none"/>
        </w:rPr>
      </w:pPr>
      <w:r>
        <w:rPr>
          <w:highlight w:val="none"/>
        </w:rPr>
        <w:t xml:space="preserve">Постановление правительства РФ от 16 ноября 2025 г. № 1236</w:t>
        <w:br/>
      </w:r>
      <w:r>
        <w:rPr>
          <w:highlight w:val="none"/>
        </w:rPr>
        <w:t xml:space="preserve">«Об установлении запрета на допуск программного обеспечения, </w:t>
      </w:r>
      <w:r>
        <w:rPr>
          <w:highlight w:val="none"/>
        </w:rPr>
        <w:t xml:space="preserve">происходящего из иностранных государств, для целей </w:t>
      </w:r>
      <w:r>
        <w:rPr>
          <w:highlight w:val="none"/>
        </w:rPr>
        <w:t xml:space="preserve">осуществления закупок для обеспечения государственных </w:t>
      </w:r>
      <w:r>
        <w:rPr>
          <w:highlight w:val="none"/>
        </w:rPr>
        <w:t xml:space="preserve">и муниципальных нужд»</w:t>
      </w:r>
      <w:r>
        <w:rPr>
          <w:highlight w:val="none"/>
        </w:rPr>
        <w:t xml:space="preserve">.</w:t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Данное постановление определяет порядок формирования и ведения </w:t>
      </w:r>
      <w:r>
        <w:rPr>
          <w:highlight w:val="none"/>
        </w:rPr>
        <w:t xml:space="preserve">единого реестра российских программ для электронных вычислительных машин и баз данных</w:t>
      </w:r>
      <w:r>
        <w:rPr>
          <w:highlight w:val="none"/>
        </w:rPr>
        <w:t xml:space="preserve"> и устанавливает запрет на закупку импортных </w:t>
      </w:r>
      <w:r>
        <w:rPr>
          <w:highlight w:val="none"/>
        </w:rPr>
        <w:t xml:space="preserve">программ</w:t>
      </w:r>
      <w:r>
        <w:rPr>
          <w:highlight w:val="none"/>
        </w:rPr>
        <w:t xml:space="preserve"> </w:t>
      </w:r>
      <w:r>
        <w:rPr>
          <w:highlight w:val="none"/>
        </w:rPr>
        <w:t xml:space="preserve">для обеспечения государственных и муниципальных нужд</w:t>
      </w:r>
      <w:r>
        <w:rPr>
          <w:highlight w:val="none"/>
        </w:rPr>
        <w:t xml:space="preserve"> (в том числе и образования).</w:t>
      </w:r>
      <w:r/>
    </w:p>
    <w:p>
      <w:pPr>
        <w:spacing w:after="0" w:afterAutospacing="0"/>
        <w:rPr>
          <w:highlight w:val="none"/>
        </w:rPr>
      </w:pPr>
      <w:r>
        <w:rPr>
          <w:highlight w:val="none"/>
        </w:rPr>
        <w:t xml:space="preserve">Однако, данное постановление разрешает закупать импортное программное обеспечение в двух случаях:</w:t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rPr>
          <w:highlight w:val="none"/>
        </w:rPr>
        <w:suppressLineNumbers w:val="0"/>
      </w:pPr>
      <w:r>
        <w:rPr>
          <w:highlight w:val="none"/>
        </w:rPr>
        <w:t xml:space="preserve">если в реестре нет программ того же класса, что и программа, планируемая к закупке;</w:t>
      </w:r>
      <w:r>
        <w:rPr>
          <w:highlight w:val="none"/>
        </w:rPr>
      </w:r>
    </w:p>
    <w:p>
      <w:pPr>
        <w:pStyle w:val="621"/>
        <w:numPr>
          <w:ilvl w:val="0"/>
          <w:numId w:val="1"/>
        </w:numPr>
        <w:ind w:left="360"/>
        <w:rPr>
          <w:highlight w:val="none"/>
        </w:rPr>
        <w:suppressLineNumbers w:val="0"/>
      </w:pPr>
      <w:r>
        <w:rPr>
          <w:highlight w:val="none"/>
        </w:rPr>
        <w:t xml:space="preserve">если программа того же класса, что и планируемая к закупке, есть в реестре, но она </w:t>
      </w:r>
      <w:r>
        <w:rPr>
          <w:highlight w:val="none"/>
        </w:rPr>
        <w:t xml:space="preserve">по своим функциональным, техническим или эксплуатационным</w:t>
      </w:r>
      <w:r>
        <w:rPr>
          <w:highlight w:val="none"/>
        </w:rPr>
        <w:t xml:space="preserve"> </w:t>
      </w:r>
      <w:r>
        <w:rPr>
          <w:highlight w:val="none"/>
        </w:rPr>
        <w:t xml:space="preserve">характеристикам не соответствует требованиям заказчика.</w:t>
      </w:r>
      <w:r>
        <w:rPr>
          <w:highlight w:val="none"/>
        </w:rPr>
      </w:r>
    </w:p>
    <w:p>
      <w:pPr>
        <w:rPr>
          <w:highlight w:val="none"/>
        </w:rPr>
        <w:suppressLineNumbers w:val="0"/>
      </w:pPr>
      <w:r>
        <w:rPr>
          <w:highlight w:val="none"/>
        </w:rPr>
        <w:t xml:space="preserve">Данными допущениями при закупках активно пользовалось большинство отечественных образовательных организаций, продолжая закупать импортное программное обеспечение не смотря на наличие аналогов от российских разработчиков.</w:t>
      </w:r>
      <w:r>
        <w:rPr>
          <w:highlight w:val="none"/>
        </w:rPr>
      </w:r>
    </w:p>
    <w:p>
      <w:pPr>
        <w:shd w:val="nil"/>
        <w:rPr>
          <w:highlight w:val="none"/>
        </w:rPr>
        <w:suppressLineNumbers w:val="0"/>
      </w:pPr>
      <w:r>
        <w:rPr>
          <w:highlight w:val="none"/>
        </w:rPr>
        <w:br w:type="page" w:clear="all"/>
      </w:r>
      <w:r>
        <w:rPr>
          <w:highlight w:val="none"/>
        </w:rPr>
      </w:r>
    </w:p>
    <w:p>
      <w:pPr>
        <w:pStyle w:val="15"/>
        <w:suppressLineNumbers w:val="0"/>
      </w:pPr>
      <w:r>
        <w:rPr>
          <w:highlight w:val="none"/>
        </w:rPr>
        <w:t xml:space="preserve">Указ Президента РФ от 30 марта 2022 г. № 166 </w:t>
      </w:r>
      <w:r>
        <w:rPr>
          <w:highlight w:val="none"/>
        </w:rPr>
      </w:r>
      <w:r>
        <w:rPr>
          <w:highlight w:val="none"/>
        </w:rPr>
        <w:t xml:space="preserve">«О мерах по обеспечению технологической независимости и безопасности критической информационной инфраструктуры Российской Федерации»</w:t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spacing w:after="0" w:afterAutospacing="0"/>
        <w:rPr>
          <w:highlight w:val="none"/>
        </w:rPr>
      </w:pPr>
      <w:r>
        <w:t xml:space="preserve">Данный указ ввёл два важных запрета:</w:t>
      </w:r>
      <w:r/>
    </w:p>
    <w:p>
      <w:pPr>
        <w:pStyle w:val="621"/>
        <w:numPr>
          <w:ilvl w:val="0"/>
          <w:numId w:val="2"/>
        </w:numPr>
        <w:ind w:left="360"/>
        <w:suppressLineNumbers w:val="0"/>
      </w:pPr>
      <w:r>
        <w:rPr>
          <w:highlight w:val="none"/>
        </w:rPr>
      </w:r>
      <w:r>
        <w:rPr>
          <w:highlight w:val="none"/>
        </w:rPr>
        <w:t xml:space="preserve">с 31 марта 2022 г. </w:t>
      </w:r>
      <w:r>
        <w:rPr>
          <w:highlight w:val="none"/>
        </w:rPr>
        <w:t xml:space="preserve">заказчики</w:t>
      </w:r>
      <w:r>
        <w:rPr>
          <w:highlight w:val="none"/>
        </w:rPr>
        <w:t xml:space="preserve">, осуществляющие закупки в соответствии с Федеральным законом от 18 июля 2011 г. № 223-ФЗ "О закупках товаров, работ, услуг отдельными видами юридических лиц",</w:t>
      </w:r>
      <w:r>
        <w:rPr>
          <w:highlight w:val="none"/>
        </w:rPr>
        <w:t xml:space="preserve"> не могут осуществлять закупки иностранного ПО, в целях </w:t>
      </w:r>
      <w:r>
        <w:rPr>
          <w:highlight w:val="none"/>
        </w:rPr>
        <w:t xml:space="preserve">его использования на принадлежащих им значимых объектах критической информационной инфраструктуры РФ без согласования возможности осуществления закупок с федеральным органом исполнительной власти, уполномоченным Правительством РФ</w:t>
      </w:r>
      <w:r>
        <w:rPr>
          <w:highlight w:val="none"/>
        </w:rPr>
        <w:t xml:space="preserve">;</w:t>
      </w:r>
      <w:r>
        <w:rPr>
          <w:highlight w:val="none"/>
        </w:rPr>
      </w:r>
    </w:p>
    <w:p>
      <w:pPr>
        <w:pStyle w:val="621"/>
        <w:numPr>
          <w:ilvl w:val="0"/>
          <w:numId w:val="2"/>
        </w:numPr>
        <w:ind w:left="360"/>
        <w:suppressLineNumbers w:val="0"/>
      </w:pPr>
      <w:r>
        <w:rPr>
          <w:highlight w:val="none"/>
        </w:rPr>
      </w:r>
      <w:r>
        <w:rPr>
          <w:highlight w:val="none"/>
        </w:rPr>
        <w:t xml:space="preserve">с 1 января 2025 г.</w:t>
      </w:r>
      <w:r>
        <w:rPr>
          <w:highlight w:val="none"/>
        </w:rPr>
        <w:t xml:space="preserve"> органам государственной власти и </w:t>
      </w:r>
      <w:r>
        <w:rPr>
          <w:highlight w:val="none"/>
        </w:rPr>
        <w:t xml:space="preserve">заказчикам</w:t>
      </w:r>
      <w:r>
        <w:rPr>
          <w:highlight w:val="none"/>
        </w:rPr>
        <w:t xml:space="preserve">, осуществляющим закупки в соответствии с Федеральным законом от 18 июля 2011 г. № 223-ФЗ "О закупках товаров, работ, услуг отдельными видами юридических лиц", </w:t>
      </w:r>
      <w:r>
        <w:rPr>
          <w:highlight w:val="none"/>
        </w:rPr>
        <w:t xml:space="preserve">запрещается использовать иностранное программное обеспечение на значимых объектах критической информационной инфраструктуры</w:t>
      </w:r>
      <w:r>
        <w:rPr>
          <w:highlight w:val="none"/>
        </w:rPr>
        <w:t xml:space="preserve">.</w:t>
      </w:r>
      <w:r>
        <w:rPr>
          <w:highlight w:val="none"/>
        </w:rPr>
      </w:r>
    </w:p>
    <w:p>
      <w:pPr>
        <w:rPr>
          <w:highlight w:val="none"/>
        </w:rPr>
        <w:suppressLineNumbers w:val="0"/>
      </w:pPr>
      <w:r>
        <w:rPr>
          <w:highlight w:val="none"/>
        </w:rPr>
        <w:t xml:space="preserve">Не смотря на то, что школы не относятся к объектам критической информационной инфраструктуры, многие высшие учебные заведения к ним относятся, так как они проводят </w:t>
      </w:r>
      <w:r>
        <w:rPr>
          <w:highlight w:val="none"/>
        </w:rPr>
        <w:t xml:space="preserve">финансируемые и инициативные научные исследования</w:t>
      </w:r>
      <w:r>
        <w:rPr>
          <w:highlight w:val="none"/>
        </w:rPr>
        <w:t xml:space="preserve">.</w:t>
      </w:r>
      <w:r>
        <w:rPr>
          <w:highlight w:val="none"/>
        </w:rPr>
      </w:r>
    </w:p>
    <w:p>
      <w:pPr>
        <w:rPr>
          <w:highlight w:val="none"/>
        </w:rPr>
        <w:suppressLineNumbers w:val="0"/>
      </w:pPr>
      <w:r>
        <w:rPr>
          <w:highlight w:val="none"/>
        </w:rPr>
        <w:t xml:space="preserve">Однако на данный момент школы и ВУЗы, не относящиеся к объектам критической информационной инфраструктуры и не затронутые этим указом президента, всё равно не могут использовать у себя импортное ПО. Причиной этому является прекращение работы на территории Российской Федерации большинства крупных иностранных разработчиков программного обеспечения. Что, в свою очередь, привело к невозможности закупки лицензий на импортное ПО.</w:t>
      </w:r>
      <w:r>
        <w:rPr>
          <w:highlight w:val="none"/>
        </w:rPr>
      </w:r>
    </w:p>
    <w:p>
      <w:pPr>
        <w:rPr>
          <w:highlight w:val="none"/>
        </w:rPr>
        <w:suppressLineNumbers w:val="0"/>
      </w:pPr>
      <w:r>
        <w:rPr>
          <w:highlight w:val="none"/>
        </w:rPr>
        <w:t xml:space="preserve">Использование программного обеспечения без лицензии относится к с</w:t>
      </w:r>
      <w:r>
        <w:rPr>
          <w:highlight w:val="none"/>
        </w:rPr>
        <w:t xml:space="preserve">татье 146 УК РФ «Нарушение авторских и смежных прав». В соответствии с ней:</w:t>
      </w:r>
      <w:r>
        <w:rPr>
          <w:highlight w:val="none"/>
        </w:rPr>
        <w:t xml:space="preserve"> </w:t>
      </w:r>
      <w:r>
        <w:rPr>
          <w:highlight w:val="none"/>
        </w:rPr>
        <w:t xml:space="preserve">Незаконное использование объектов авторского права или смежных прав, а равно приобретение, хранение, перевозка контрафактных экземпляров произведений или фонограмм в целях сбыта, </w:t>
      </w:r>
      <w:r>
        <w:rPr>
          <w:highlight w:val="none"/>
        </w:rPr>
        <w:t xml:space="preserve">если они совершены</w:t>
      </w:r>
      <w:r>
        <w:rPr>
          <w:highlight w:val="none"/>
        </w:rPr>
        <w:t xml:space="preserve"> </w:t>
      </w:r>
      <w:r>
        <w:rPr>
          <w:highlight w:val="none"/>
        </w:rPr>
        <w:t xml:space="preserve">в особо крупном размере или </w:t>
      </w:r>
      <w:r>
        <w:rPr>
          <w:highlight w:val="none"/>
        </w:rPr>
        <w:t xml:space="preserve">с использованием своего служебного положения</w:t>
      </w:r>
      <w:r>
        <w:rPr>
          <w:highlight w:val="none"/>
        </w:rPr>
        <w:t xml:space="preserve">, </w:t>
      </w:r>
      <w:r>
        <w:rPr>
          <w:highlight w:val="none"/>
        </w:rPr>
        <w:t xml:space="preserve">наказываются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осужденного за период до трех лет или без такового.</w:t>
      </w:r>
      <w:r>
        <w:rPr>
          <w:highlight w:val="none"/>
        </w:rPr>
      </w:r>
      <w:r/>
    </w:p>
    <w:p>
      <w:pPr>
        <w:pStyle w:val="15"/>
        <w:rPr>
          <w:highlight w:val="none"/>
        </w:rPr>
        <w:suppressLineNumbers w:val="0"/>
      </w:pPr>
      <w:r>
        <w:rPr>
          <w:highlight w:val="none"/>
        </w:rPr>
        <w:t xml:space="preserve">Вывод</w:t>
      </w:r>
      <w:r>
        <w:rPr>
          <w:highlight w:val="none"/>
        </w:rPr>
      </w:r>
    </w:p>
    <w:p>
      <w:r>
        <w:t xml:space="preserve">На данный момент, в связи с вступлением в силу всех пунктов приведённых выше нормативно правовых актов, а также в связи с истечением лицензний на программное обеспечение образовательные учреждения должны либо закончить проведение импортозамещения используемого программного обеспечения, либо активно участвовать в нём.</w:t>
      </w:r>
      <w:r/>
    </w:p>
    <w:sectPr>
      <w:footnotePr/>
      <w:end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PT Sans">
    <w:panose1 w:val="020B0503020203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PT Sans" w:hAnsi="PT Sans" w:eastAsia="PT Sans" w:cs="PT Sans"/>
      <w:sz w:val="40"/>
      <w:szCs w:val="40"/>
    </w:rPr>
  </w:style>
  <w:style w:type="character" w:styleId="14">
    <w:name w:val="Heading 1 Char"/>
    <w:link w:val="13"/>
    <w:uiPriority w:val="9"/>
    <w:rPr>
      <w:rFonts w:ascii="PT Sans" w:hAnsi="PT Sans" w:eastAsia="PT Sans" w:cs="PT Sans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PT Sans" w:hAnsi="PT Sans" w:eastAsia="PT Sans" w:cs="PT Sans"/>
      <w:sz w:val="34"/>
    </w:rPr>
  </w:style>
  <w:style w:type="character" w:styleId="16">
    <w:name w:val="Heading 2 Char"/>
    <w:link w:val="15"/>
    <w:uiPriority w:val="9"/>
    <w:rPr>
      <w:rFonts w:ascii="PT Sans" w:hAnsi="PT Sans" w:eastAsia="PT Sans" w:cs="PT Sans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rFonts w:ascii="PT Sans" w:hAnsi="PT Sans" w:cs="PT Sans"/>
      <w:sz w:val="28"/>
      <w:szCs w:val="28"/>
    </w:rPr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Данила Исайчев</cp:lastModifiedBy>
  <cp:revision>1</cp:revision>
  <dcterms:modified xsi:type="dcterms:W3CDTF">2025-04-20T20:10:19Z</dcterms:modified>
</cp:coreProperties>
</file>