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l3e1ae2j6up0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Самоанализ профессиональной деятельности при прохождении практики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1. Введение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Прохождение практики является важным этапом в профессиональном развитии, предоставляющим возможность применить теоретические знания на практике, приобрести новые навыки и опыт. В рамках данной практики моя деятельность была направлена на разработку технологий электронного обучения (ТЭО) для корпоративного обучения разработчиков игр использованию нейросетей.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2. Описание профессиональной деятельности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 процессе практики я выполнял следующие основные задачи: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учебных материалов по теме "Использование нейросетей в разработке игр".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электронного учебно-методического комплекса (ЭУМК) для одного занятия.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интерактивных заданий для студентов.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Оценка и анализ результатов обучения, предоставление обратной связи.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3. Анализ профессиональных компетенций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Прохождение практики позволило мне развить и укрепить следующие профессиональные компетенции: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Педагогические навыки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Способность разрабатывать и проводить учебные занятия, используя современные методы и технологии электронного обучения.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Аналитические способности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Умение анализировать потребности обучающихся, разрабатывать программы обучения и оценивать результаты обучения.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Коммуникативные навыки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Эффективное взаимодействие с обучающимися, предоставление обратной связи, организация дискуссий и обсуждений.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Технические навыки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Владение инструментами и платформами для создания и проведения электронного обучения (Moodle, Google Colab, Jupyter Notebook).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4. Проблемы и способы их решения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 процессе практики я столкнулся с рядом проблем и задач: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Недостаток практических навыков у студентов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Решение – разработка дополнительных практических заданий и проектов, проведение индивидуальных консультаций.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Технические сложности при использовании платформ для электронного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Решение – создание подробных инструкций и материалов для самостоятельного изучения платформ, проведение вводных занятий по работе с ними.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5. Влияние практики на профессиональное развитие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Практика оказала значительное влияние на мое профессиональное развитие. Я получил ценный опыт разработки и проведения электронного обучения, улучшил свои педагогические и технические навыки. Эти знания и навыки будут полезны в дальнейшей профессиональной деятельности, особенно в рамках выполнения магистерской диссертации на тему "Корпоративное обучение разработчиков игр использованию нейросетей".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