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true"/>
        <w:bidi w:val="0"/>
        <w:spacing w:lineRule="auto" w:line="240" w:before="0" w:after="0"/>
        <w:ind w:left="-709" w:right="0" w:firstLine="709"/>
        <w:jc w:val="center"/>
        <w:rPr>
          <w:sz w:val="22"/>
          <w:szCs w:val="22"/>
        </w:rPr>
      </w:pPr>
      <w:r>
        <w:rPr>
          <w:rFonts w:ascii="Lazursky" w:hAnsi="Lazursky"/>
          <w:sz w:val="22"/>
          <w:szCs w:val="22"/>
          <w:lang w:val="ru-RU"/>
        </w:rPr>
        <w:t xml:space="preserve">МИНИСТЕРСТВО НАУКИ И ВЫСШЕГО ОБРАЗОВАНИЯ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-709" w:right="0" w:firstLine="709"/>
        <w:jc w:val="center"/>
        <w:rPr>
          <w:sz w:val="22"/>
          <w:szCs w:val="22"/>
        </w:rPr>
      </w:pPr>
      <w:r>
        <w:rPr>
          <w:rFonts w:ascii="Lazursky" w:hAnsi="Lazursky"/>
          <w:sz w:val="22"/>
          <w:szCs w:val="22"/>
          <w:lang w:val="ru-RU"/>
        </w:rPr>
        <w:t>РОССИЙСКОЙ ФЕДЕРАЦИИ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-709" w:right="0" w:firstLine="709"/>
        <w:jc w:val="center"/>
        <w:rPr>
          <w:rFonts w:ascii="Lazursky" w:hAnsi="Lazursky"/>
          <w:sz w:val="22"/>
          <w:szCs w:val="22"/>
        </w:rPr>
      </w:pPr>
      <w:r>
        <w:rPr>
          <w:rFonts w:ascii="Lazursky" w:hAnsi="Lazursky"/>
          <w:sz w:val="22"/>
          <w:szCs w:val="22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-709" w:right="0" w:firstLine="709"/>
        <w:jc w:val="center"/>
        <w:rPr>
          <w:sz w:val="22"/>
          <w:szCs w:val="22"/>
        </w:rPr>
      </w:pPr>
      <w:r>
        <w:rPr>
          <w:rFonts w:ascii="Lazursky" w:hAnsi="Lazursky"/>
          <w:sz w:val="22"/>
          <w:szCs w:val="22"/>
          <w:lang w:val="ru-RU"/>
        </w:rPr>
        <w:t>ФЕДЕРАЛЬНОЕ ГОСУДАРСТВЕННОЕ БЮДЖЕТНОЕ ОБРАЗОВАТЕЛЬНОЕ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-709" w:right="0" w:firstLine="709"/>
        <w:jc w:val="center"/>
        <w:rPr>
          <w:sz w:val="22"/>
          <w:szCs w:val="22"/>
        </w:rPr>
      </w:pPr>
      <w:r>
        <w:rPr>
          <w:rFonts w:ascii="Lazursky" w:hAnsi="Lazursky"/>
          <w:sz w:val="22"/>
          <w:szCs w:val="22"/>
          <w:lang w:val="ru-RU"/>
        </w:rPr>
        <w:t>УЧРЕЖДЕНИЕ ВЫСШЕГО ОБРАЗОВАНИЯ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-709" w:right="0" w:firstLine="709"/>
        <w:jc w:val="center"/>
        <w:rPr>
          <w:sz w:val="22"/>
          <w:szCs w:val="22"/>
        </w:rPr>
      </w:pPr>
      <w:r>
        <w:rPr>
          <w:rFonts w:ascii="Lazursky" w:hAnsi="Lazursky"/>
          <w:sz w:val="22"/>
          <w:szCs w:val="22"/>
          <w:lang w:val="ru-RU"/>
        </w:rPr>
        <w:t xml:space="preserve">«РОССИЙСКИЙ ГОСУДАРСТВЕННЫЙ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-709" w:right="0" w:firstLine="709"/>
        <w:jc w:val="center"/>
        <w:rPr>
          <w:sz w:val="22"/>
          <w:szCs w:val="22"/>
        </w:rPr>
      </w:pPr>
      <w:r>
        <w:rPr>
          <w:rFonts w:ascii="Lazursky" w:hAnsi="Lazursky"/>
          <w:sz w:val="22"/>
          <w:szCs w:val="22"/>
          <w:lang w:val="ru-RU"/>
        </w:rPr>
        <w:t>ПЕДАГОГИЧЕСКИЙ УНИВЕРСИТЕТ им.</w:t>
      </w:r>
      <w:r>
        <w:rPr>
          <w:rFonts w:cs="Calibri" w:ascii="Lazursky" w:hAnsi="Lazursky"/>
          <w:sz w:val="22"/>
          <w:szCs w:val="22"/>
          <w:lang w:val="ru-RU"/>
        </w:rPr>
        <w:t xml:space="preserve"> </w:t>
      </w:r>
      <w:r>
        <w:rPr>
          <w:rFonts w:cs="Lazursky" w:ascii="Lazursky" w:hAnsi="Lazursky"/>
          <w:sz w:val="22"/>
          <w:szCs w:val="22"/>
          <w:lang w:val="ru-RU"/>
        </w:rPr>
        <w:t>А</w:t>
      </w:r>
      <w:r>
        <w:rPr>
          <w:rFonts w:ascii="Lazursky" w:hAnsi="Lazursky"/>
          <w:sz w:val="22"/>
          <w:szCs w:val="22"/>
          <w:lang w:val="ru-RU"/>
        </w:rPr>
        <w:t>.</w:t>
      </w:r>
      <w:r>
        <w:rPr>
          <w:rFonts w:cs="Calibri" w:ascii="Lazursky" w:hAnsi="Lazursky"/>
          <w:sz w:val="22"/>
          <w:szCs w:val="22"/>
          <w:lang w:val="ru-RU"/>
        </w:rPr>
        <w:t xml:space="preserve"> </w:t>
      </w:r>
      <w:r>
        <w:rPr>
          <w:rFonts w:cs="Lazursky" w:ascii="Lazursky" w:hAnsi="Lazursky"/>
          <w:sz w:val="22"/>
          <w:szCs w:val="22"/>
          <w:lang w:val="ru-RU"/>
        </w:rPr>
        <w:t>И</w:t>
      </w:r>
      <w:r>
        <w:rPr>
          <w:rFonts w:ascii="Lazursky" w:hAnsi="Lazursky"/>
          <w:sz w:val="22"/>
          <w:szCs w:val="22"/>
          <w:lang w:val="ru-RU"/>
        </w:rPr>
        <w:t>.</w:t>
      </w:r>
      <w:r>
        <w:rPr>
          <w:rFonts w:cs="Calibri" w:ascii="Lazursky" w:hAnsi="Lazursky"/>
          <w:sz w:val="22"/>
          <w:szCs w:val="22"/>
          <w:lang w:val="ru-RU"/>
        </w:rPr>
        <w:t xml:space="preserve"> </w:t>
      </w:r>
      <w:r>
        <w:rPr>
          <w:rFonts w:cs="Lazursky" w:ascii="Lazursky" w:hAnsi="Lazursky"/>
          <w:sz w:val="22"/>
          <w:szCs w:val="22"/>
          <w:lang w:val="ru-RU"/>
        </w:rPr>
        <w:t>ГЕР</w:t>
      </w:r>
      <w:r>
        <w:rPr>
          <w:rFonts w:ascii="Lazursky" w:hAnsi="Lazursky"/>
          <w:sz w:val="22"/>
          <w:szCs w:val="22"/>
          <w:lang w:val="ru-RU"/>
        </w:rPr>
        <w:t>ЦЕНА»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drawing>
          <wp:anchor behindDoc="0" distT="0" distB="0" distL="114300" distR="114300" simplePos="0" locked="0" layoutInCell="0" allowOverlap="1" relativeHeight="9">
            <wp:simplePos x="0" y="0"/>
            <wp:positionH relativeFrom="column">
              <wp:posOffset>2447290</wp:posOffset>
            </wp:positionH>
            <wp:positionV relativeFrom="paragraph">
              <wp:posOffset>172085</wp:posOffset>
            </wp:positionV>
            <wp:extent cx="1252220" cy="1305560"/>
            <wp:effectExtent l="0" t="0" r="0" b="0"/>
            <wp:wrapTopAndBottom/>
            <wp:docPr id="1" name="Рисунок 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1305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18"/>
          <w:szCs w:val="20"/>
        </w:rPr>
      </w:pPr>
      <w:r>
        <w:rPr>
          <w:sz w:val="18"/>
          <w:szCs w:val="20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-709" w:right="0" w:hanging="0"/>
        <w:jc w:val="center"/>
        <w:rPr/>
      </w:pPr>
      <w:r>
        <w:rPr>
          <w:sz w:val="24"/>
          <w:szCs w:val="24"/>
          <w:lang w:val="ru-RU"/>
        </w:rPr>
        <w:t xml:space="preserve">Основная профессиональная образовательная программа 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-709" w:right="0" w:hanging="0"/>
        <w:jc w:val="center"/>
        <w:rPr/>
      </w:pPr>
      <w:r>
        <w:rPr>
          <w:sz w:val="24"/>
          <w:szCs w:val="24"/>
          <w:lang w:val="ru-RU"/>
        </w:rPr>
        <w:t>Направление подготовки 09.03.01 Информатика и вычислительная техника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-709" w:right="0" w:hanging="0"/>
        <w:jc w:val="center"/>
        <w:rPr/>
      </w:pPr>
      <w:r>
        <w:rPr>
          <w:sz w:val="24"/>
          <w:szCs w:val="24"/>
          <w:lang w:val="ru-RU"/>
        </w:rPr>
        <w:t>Направленность (профиль) «Технологии разработки программного обеспечения»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-709" w:right="0" w:hanging="0"/>
        <w:jc w:val="center"/>
        <w:rPr/>
      </w:pPr>
      <w:r>
        <w:rPr>
          <w:sz w:val="24"/>
          <w:szCs w:val="24"/>
          <w:lang w:val="ru-RU"/>
        </w:rPr>
        <w:t>форма обучения – очная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-709" w:right="0" w:firstLine="709"/>
        <w:jc w:val="center"/>
        <w:rPr>
          <w:rFonts w:ascii="Times New Roman" w:hAnsi="Times New Roman"/>
          <w:sz w:val="28"/>
          <w:szCs w:val="24"/>
        </w:rPr>
      </w:pPr>
      <w:r>
        <w:rPr>
          <w:b/>
          <w:sz w:val="28"/>
          <w:szCs w:val="24"/>
          <w:lang w:val="ru-RU"/>
        </w:rPr>
        <w:t>Выпускная квалификационная работа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360" w:before="0" w:after="794"/>
        <w:ind w:left="0" w:right="567" w:hanging="0"/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Разработка электронного образовательного ресурса «Использование GitHub как системы для непрерывной интеграции и развёртывания современного веб-проекта»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lang w:val="ru-RU"/>
        </w:rPr>
        <w:t>Обучающегося 4 курса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lang w:val="ru-RU"/>
        </w:rPr>
        <w:t>Косыгина Кирилла Сергеевича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lang w:val="ru-RU"/>
        </w:rPr>
        <w:t>Научный руководитель: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lang w:val="ru-RU"/>
        </w:rPr>
        <w:t>Кандидат физ.-мат. наук, доцент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sz w:val="24"/>
          <w:szCs w:val="24"/>
          <w:lang w:val="ru-RU"/>
        </w:rPr>
        <w:t>Жуков Николай Николаевич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jc w:val="center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  <w:lang w:val="ru-RU"/>
        </w:rPr>
        <w:t>Санкт-Петербург</w:t>
      </w:r>
    </w:p>
    <w:p>
      <w:pPr>
        <w:pStyle w:val="Normal"/>
        <w:spacing w:before="0" w:after="0"/>
        <w:ind w:left="-567" w:firstLine="709"/>
        <w:jc w:val="center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  <w:lang w:val="ru-RU"/>
        </w:rPr>
        <w:t>2022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itredetabledesmatires"/>
            <w:spacing w:before="0" w:after="280"/>
            <w:rPr/>
          </w:pPr>
          <w:r>
            <w:br w:type="page"/>
          </w:r>
          <w:r>
            <w:rPr>
              <w:rFonts w:eastAsia="Arial" w:cs="Times New Roman" w:ascii="Times New Roman" w:hAnsi="Times New Roman"/>
              <w:color w:val="auto"/>
              <w:sz w:val="28"/>
              <w:szCs w:val="28"/>
            </w:rPr>
            <w:t>Содержание</w:t>
          </w:r>
        </w:p>
        <w:p>
          <w:pPr>
            <w:pStyle w:val="Tabledesmatiresniveau1"/>
            <w:tabs>
              <w:tab w:val="clear" w:pos="709"/>
              <w:tab w:val="right" w:pos="9911" w:leader="dot"/>
            </w:tabs>
            <w:spacing w:before="0" w:after="0"/>
            <w:ind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r>
            <w:fldChar w:fldCharType="begin"/>
          </w:r>
          <w:r>
            <w:rPr>
              <w:webHidden/>
              <w:rStyle w:val="Sautdindex"/>
              <w:vanish w:val="false"/>
            </w:rPr>
            <w:instrText xml:space="preserve"> TOC \z \o "1-3" \u \h</w:instrText>
          </w:r>
          <w:r>
            <w:rPr>
              <w:webHidden/>
              <w:rStyle w:val="Sautdindex"/>
              <w:vanish w:val="false"/>
            </w:rPr>
            <w:fldChar w:fldCharType="separate"/>
          </w:r>
          <w:hyperlink w:anchor="_Toc9842001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_Toc98420011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ВВЕДЕНИЕ</w:t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1"/>
            <w:tabs>
              <w:tab w:val="clear" w:pos="709"/>
              <w:tab w:val="right" w:pos="9911" w:leader="dot"/>
            </w:tabs>
            <w:spacing w:before="0" w:after="0"/>
            <w:ind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1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_Toc98420012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1 ПРОБЛЕМАТИКА РАЗРАБОТКИ ЭОР</w:t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13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_Toc98420013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1.1 Определение и сущность ЭОР</w:t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14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_Toc98420014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1.2 Особенности использования ЭОР</w:t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15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_Toc98420015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1.2.1 Общие требования к ЭОР</w:t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16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_Toc98420016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1.2.2 Требования к представлению учебного материала</w:t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17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_Toc98420017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1.3 Обзор инструментов для создания ЭОР</w:t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18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_Toc98420018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1.3.1 LMS Moodle</w:t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1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_Toc98420019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1.3.2 CMS-базированные решения</w:t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20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_Toc98420020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1.3.3 Прочие инструменты</w:t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2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_Toc98420021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1.4 Этапы разработки ЭОР</w:t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2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_Toc98420022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1.5 Технологические особенности разработки ЭОР</w:t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1"/>
            <w:tabs>
              <w:tab w:val="clear" w:pos="709"/>
              <w:tab w:val="right" w:pos="9911" w:leader="dot"/>
            </w:tabs>
            <w:spacing w:before="0" w:after="0"/>
            <w:ind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23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_Toc98420023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2 РАЗРАБОТКА ЭОР</w:t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24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_Toc98420024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2.1 Адаптация требований к ЭОР</w:t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25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_Toc98420025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2.2 Проектирование ЭОР</w:t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26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_Toc98420026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2.2.1 Структура ЭОР</w:t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27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_Toc98420027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2.2.2 Выбор технологий</w:t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28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_Toc98420028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2.2.3 Структура программного проекта</w:t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2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_Toc98420029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2.3 Создание ЭОР</w:t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30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_Toc98420030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2.3.1 Подготовка рабочего окружения</w:t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3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_Toc98420031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2.3.2 Наполнение ресурса</w:t>
              <w:tab/>
              <w:t>28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3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_Toc98420032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2.3.3 Введение стимулирующих элементов</w:t>
              <w:tab/>
              <w:t>32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33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_Toc98420033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2.4 Контейнеризация ресурса</w:t>
              <w:tab/>
              <w:t>33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1"/>
            <w:tabs>
              <w:tab w:val="clear" w:pos="709"/>
              <w:tab w:val="right" w:pos="9911" w:leader="dot"/>
            </w:tabs>
            <w:spacing w:before="0" w:after="0"/>
            <w:ind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98420034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_Toc98420034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ЗАКЛЮЧЕНИЕ</w:t>
              <w:tab/>
              <w:t>36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1"/>
            <w:tabs>
              <w:tab w:val="clear" w:pos="709"/>
              <w:tab w:val="right" w:pos="9911" w:leader="dot"/>
            </w:tabs>
            <w:spacing w:before="0" w:after="0"/>
            <w:ind w:hanging="0"/>
            <w:rPr/>
          </w:pPr>
          <w:hyperlink w:anchor="_Toc98420035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_Toc98420035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autdindex"/>
                <w:vanish w:val="false"/>
              </w:rPr>
              <w:t>СПИСОК ЛИТЕРАТУРЫ</w:t>
              <w:tab/>
              <w:t>38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ind w:hanging="0"/>
            <w:rPr/>
          </w:pPr>
          <w:r>
            <w:rPr/>
            <w:t>ПРИЛОЖЕНИЯ</w:t>
          </w:r>
          <w:r>
            <w:rPr/>
            <w:fldChar w:fldCharType="end"/>
          </w:r>
        </w:p>
      </w:sdtContent>
    </w:sdt>
    <w:p>
      <w:pPr>
        <w:pStyle w:val="Normal"/>
        <w:rPr/>
      </w:pPr>
      <w:r>
        <w:rPr/>
      </w:r>
      <w:r>
        <w:br w:type="page"/>
      </w:r>
    </w:p>
    <w:p>
      <w:pPr>
        <w:pStyle w:val="Titre1"/>
        <w:spacing w:before="0" w:after="454"/>
        <w:rPr>
          <w:sz w:val="28"/>
          <w:szCs w:val="28"/>
        </w:rPr>
      </w:pPr>
      <w:bookmarkStart w:id="0" w:name="_Toc98420011"/>
      <w:r>
        <w:rPr>
          <w:sz w:val="28"/>
          <w:szCs w:val="28"/>
        </w:rPr>
        <w:t>ВВЕДЕНИЕ</w:t>
      </w:r>
      <w:bookmarkEnd w:id="0"/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/>
        <w:t xml:space="preserve">Непрерывная интеграция и непрерывная доставка (англ. </w:t>
      </w:r>
      <w:r>
        <w:rPr>
          <w:highlight w:val="white"/>
        </w:rPr>
        <w:t>Continuous Integration</w:t>
      </w:r>
      <w:r>
        <w:rPr/>
        <w:t xml:space="preserve"> и </w:t>
      </w:r>
      <w:r>
        <w:rPr>
          <w:highlight w:val="white"/>
        </w:rPr>
        <w:t xml:space="preserve">Continuous </w:t>
      </w:r>
      <w:r>
        <w:rPr/>
        <w:t>Delivery или CI/CD) — это практики разработки программного обеспечения, ориентированные на автоматизацию сборки и выпуска обновлений программного продукта в целях повышения его качества. Практики CI/CD получили настолько широкое распространение, что к разработчикам программного обеспечения сегодня выдвигаются новые требования: начинающие разработчики должны владеть основами CI/CD и уметь поддерживать существующие пайплайны, а более опытные разработчики должны уметь самостоятельно внедрять CI/CD в циклы разработки ПО [14]. Отсюда необходимость в учебных материалах по этой теме как для первичного освоения материала, так и для повышения квалификации. Учитывая специфику и навыки целевой аудитории (начинающие специалисты в области информационных технологий), можно утверждать, что электронный образовательный ресурс (ЭОР) — это наиболее подходящий вид образовательного ресурса в данной ситуации.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/>
        <w:t xml:space="preserve">Следовательно, объект исследования данной работы — </w:t>
      </w:r>
      <w:r>
        <w:rPr>
          <w:color w:val="000000"/>
        </w:rPr>
        <w:t>применение компьютерных и цифровых технологий в обучении</w:t>
      </w:r>
      <w:r>
        <w:rPr/>
        <w:t>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/>
        <w:t>Предмет исследования — разработка электронного образовательного ресурса практической направленности, предназначенного для изучения практик CI/CD в среде GitHub.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/>
        <w:t>Целью данной работы является разработка электронного образовательного ресурса «Использование GitHub как системы для непрерывной интеграции и развёртывания современного веб-проекта».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/>
        <w:t>Для достижения поставленной цели необходимо решить следующие задачи: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360" w:before="0" w:after="0"/>
        <w:ind w:left="0" w:right="0" w:firstLine="709"/>
        <w:contextualSpacing w:val="false"/>
        <w:jc w:val="both"/>
        <w:rPr/>
      </w:pPr>
      <w:r>
        <w:rPr/>
        <w:t>Изучить сущность ЭОР и особенности их разработки.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360" w:before="0" w:after="0"/>
        <w:ind w:left="0" w:right="0" w:firstLine="709"/>
        <w:contextualSpacing w:val="false"/>
        <w:jc w:val="both"/>
        <w:rPr/>
      </w:pPr>
      <w:r>
        <w:rPr/>
        <w:t>Провести анализ инструментов, предназначенных для разработки ЭОР.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360" w:before="0" w:after="0"/>
        <w:ind w:left="0" w:right="0" w:firstLine="709"/>
        <w:contextualSpacing w:val="false"/>
        <w:jc w:val="both"/>
        <w:rPr/>
      </w:pPr>
      <w:r>
        <w:rPr/>
        <w:t xml:space="preserve">Адаптировать требования к разрабатываемому ЭОР с учётом особенностей изучения практик </w:t>
      </w:r>
      <w:r>
        <w:rPr>
          <w:lang w:val="en-US"/>
        </w:rPr>
        <w:t>CI</w:t>
      </w:r>
      <w:r>
        <w:rPr/>
        <w:t>/</w:t>
      </w:r>
      <w:r>
        <w:rPr>
          <w:lang w:val="en-US"/>
        </w:rPr>
        <w:t>CD</w:t>
      </w:r>
      <w:r>
        <w:rPr/>
        <w:t>.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/>
        <w:t>Спроектировать ЭОР «Использование GitHub как системы для непрерывной интеграции и развёртывания современного веб-проекта».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/>
        <w:t>Создать ЭОР в соответствии с разработанным планом.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/>
        <w:t>В работе выдвигается следующая гипотеза: возможно разработать электронный образовательный ресурс практической направленности «Использование GitHub как системы для непрерывной интеграции и развёртывания современного веб-проекта».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/>
        <w:t>При проведении исследования применяются следующие методы научного исследования: анализ, синтез, дедуктивный и индуктивный методы, наблюдение, сравнение, абстрагирование.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/>
        <w:t>Теоретическая значимость проводимого исследования заключается в том, что при разработке электронного образовательного ресурса будут рассмотрены и обобщены теоретические аспекты разработки подобных ресурсов: будут изучены основные требования к ЭОР, методологии адаптации под специфические требования и типовые инструменты разработки ЭОР. Практическая значимость исследования состоит в том, что разработанный ресурс может быть использован учащимися для освоения практик CI/CD или применён при разработке других учебных материалов.</w:t>
      </w:r>
      <w:r>
        <w:br w:type="page"/>
      </w:r>
    </w:p>
    <w:p>
      <w:pPr>
        <w:pStyle w:val="Titre1"/>
        <w:spacing w:before="0" w:after="454"/>
        <w:rPr>
          <w:sz w:val="28"/>
          <w:szCs w:val="28"/>
        </w:rPr>
      </w:pPr>
      <w:bookmarkStart w:id="1" w:name="_Toc98420012"/>
      <w:r>
        <w:rPr>
          <w:sz w:val="28"/>
          <w:szCs w:val="28"/>
        </w:rPr>
        <w:t>1 ПРОБЛЕМАТИКА РАЗРАБОТКИ ЭОР</w:t>
      </w:r>
      <w:bookmarkEnd w:id="1"/>
    </w:p>
    <w:p>
      <w:pPr>
        <w:pStyle w:val="Normal"/>
        <w:rPr/>
      </w:pPr>
      <w:r>
        <w:rPr>
          <w:highlight w:val="white"/>
        </w:rPr>
        <w:t>Информатизация образовательного процесса является одной из целей современного российского образования [14]</w:t>
      </w:r>
      <w:r>
        <w:rPr/>
        <w:t>.</w:t>
      </w:r>
    </w:p>
    <w:p>
      <w:pPr>
        <w:pStyle w:val="Normal"/>
        <w:rPr/>
      </w:pPr>
      <w:r>
        <w:rPr/>
        <w:t>Современные преподаватели должны уделять особое внимание информационно–коммуникационным технологиям, потому что современные технологии способствуют оптимизации учебного процесса.</w:t>
      </w:r>
    </w:p>
    <w:p>
      <w:pPr>
        <w:pStyle w:val="Normal"/>
        <w:rPr/>
      </w:pPr>
      <w:r>
        <w:rPr/>
        <w:t>Применяя ЭОР, педагог имеет большую свободу действий и может высвободить себя от комплекса рутинных задач, делегируя их вычислительной машине, например, промежуточный контроль можно осуществлять в виде автоматизированных тестов. Это позволяет педагогу привнести новшества в образовательный процесс, индивидуализировать его и повысить степень информатизации общества [10]. С другой стороны, ЭОР предоставляет учащимся дополнительные возможности, в том числе, повышающие инклюзивность. В исследованиях отмечается, что взаимодействие пользователя с учебным материалом является одним из главных преимуществ ЭОР [13]. Следовательно внедрение ЭОР является одной из стратегических задач образования, а степень интерактивность и вовлеченности пользователя определяет качество ЭОР.</w:t>
      </w:r>
    </w:p>
    <w:p>
      <w:pPr>
        <w:pStyle w:val="Titre2"/>
        <w:spacing w:before="451" w:after="451"/>
        <w:rPr>
          <w:sz w:val="28"/>
          <w:szCs w:val="28"/>
        </w:rPr>
      </w:pPr>
      <w:bookmarkStart w:id="2" w:name="_Toc98420013"/>
      <w:r>
        <w:rPr>
          <w:sz w:val="28"/>
          <w:szCs w:val="28"/>
        </w:rPr>
        <w:t>1.1 Определение и сущность ЭОР</w:t>
      </w:r>
      <w:bookmarkEnd w:id="2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Электронный образовательный ресурс (ЭОР) – это учебные материалы, для воспроизведения которых используются электронные устройства. Стоит отметить, что в сети Интернет также применяется понятие «цифровые образовательные ресурсы» (ЦОР), которым обозначают оцифрованные версии других ресурсов, например, фотографии, отсканированный текст учебника и т. п. </w:t>
      </w:r>
      <w:r>
        <w:rPr>
          <w:sz w:val="28"/>
          <w:szCs w:val="28"/>
          <w:highlight w:val="white"/>
        </w:rPr>
        <w:t>В данной работе автор следует  ГОСТ 7.23-2001 и включает в понятия «электронные» и ЭОР термины «цифровые» и ЦОР, соответственно [4].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highlight w:val="white"/>
        </w:rPr>
        <w:t>Структура, предметное содержание, методы и средства разработки и применения ЭОР определяются его функциональным назначением и спецификой применения в конкретных системах. ЭОР, прошедший редакционно-издательскую обработку, имеющий выходные сведения и предназначенный для распространения в неизменном виде, является электронным изданием. Термин «Электронные образовательные ресурсы» (ЭОР) объединяет весь спектр средств обучения, которые разработаны и воспроизводятся на базе компьютерных технологий.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ЭОР может быть представлен в трёх формах [3].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1) Текстографические ЭОР. Ресурсы, причисляемые к данной форме, содержат исключительно текст и изображения. В таких ресурсах отсутствуют любые формы навигации по материалам, отличные от оглавления.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2) Текстографические ЭОР с навигацией по тексту. Ресурсы, относимые к данной форме, также содержат исключительно текст и изображения, но предоставляют дополнительные возможности навигации по материалам: интерактивные подсказки, пояснения, поисковую систему и т.п.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3) ЭОР, представленные в виде визуального или звукового материала: фильмы, анимации, аудиозаписи, музыкальные композиции и т. п. В отличии от двух предыдущих форм, такие ресурсы невозможно представить в полиграфическом издании.</w:t>
      </w:r>
    </w:p>
    <w:p>
      <w:pPr>
        <w:pStyle w:val="Titre2"/>
        <w:spacing w:before="451" w:after="451"/>
        <w:rPr>
          <w:sz w:val="28"/>
          <w:szCs w:val="28"/>
        </w:rPr>
      </w:pPr>
      <w:bookmarkStart w:id="3" w:name="_Toc98420014"/>
      <w:r>
        <w:rPr>
          <w:sz w:val="28"/>
          <w:szCs w:val="28"/>
        </w:rPr>
        <w:t>1.2 Особенности использования ЭОР</w:t>
      </w:r>
      <w:bookmarkEnd w:id="3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Применение компьютерных технологий в процессе обучения позволяет делегировать часть задач, возлагаемых на педагога, машине и, таким образом, высвободить человеческие ресурсы. В некоторых ситуациях, например, в условиях дистанционного обучения, не прибегая к современных технологиям, осуществлять обучение невозможно вовсе.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ЭОР позволяют легко решать задачи по приведению учебного процесса к стандартам ФГОС: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Электронные средства обучения предоставляют больше возможностей для наглядного изучения предмета. Комбинированные текст и графика эффективнее усваиваются мозгом; так исследования утверждают, что правильно составленное изображение (не содержащее текста) может нести смысловую нагрузку, эквивалентную тысяче слов [15].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ЭОР можно легко внедрить элементы геймификации, повысив, таким образом, заинтересованность учащихся.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Автоматизированная система проверки и контроля знаний также помогает учащимся лучше усваивать материал. С другой стороны, педагоги могут строить гибкие индивидуальные образовательные программы, используя результаты контроля.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Помимо этого, нельзя не отметить, что ЭОР хранится (как и прочая цифровая информация) в крайне компактной и надёжной форме: ресурс всегда можно скопировать или исправить.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Важно отметить, что применение учащимися в ходе обучения таких программам, как PowerPoint, Notepad, Scribus и т.п., не является обращением к ЭОР, потому что в таком случае учащийся обращается к служебной компьютерной программе для выполнения определённых задач, а не для проведения исследования.</w:t>
      </w:r>
    </w:p>
    <w:p>
      <w:pPr>
        <w:pStyle w:val="Titre3"/>
        <w:spacing w:before="451" w:after="451"/>
        <w:rPr>
          <w:sz w:val="28"/>
          <w:szCs w:val="28"/>
        </w:rPr>
      </w:pPr>
      <w:bookmarkStart w:id="4" w:name="_Toc98420015"/>
      <w:r>
        <w:rPr>
          <w:color w:val="auto"/>
          <w:sz w:val="28"/>
          <w:szCs w:val="28"/>
        </w:rPr>
        <w:t>1.2.1 Общие требования к ЭОР</w:t>
      </w:r>
      <w:bookmarkEnd w:id="4"/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highlight w:val="white"/>
        </w:rPr>
        <w:t>Качество ЭОР — это степень соответствия совокупности характеристик, присущих ЭОР, требованиям.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соответствии с ГОСТ Р 52653-2006 ЭОР должен включать в себя образовательный контент, программные компоненты и метаданные.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Образовательный контент – это организованная предметная информация, используемая в образовательном процессе.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Программные компоненты реализуют интерактивный режим работы пользователя с контентом.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Метаданные – это структурированные данные, предназначенные для описания характеристик ЭОР.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Перед этапом создания ЭОР требуется разработать сценарный план.</w:t>
      </w:r>
    </w:p>
    <w:p>
      <w:pPr>
        <w:pStyle w:val="Titre3"/>
        <w:spacing w:before="451" w:after="451"/>
        <w:rPr>
          <w:sz w:val="28"/>
          <w:szCs w:val="28"/>
        </w:rPr>
      </w:pPr>
      <w:bookmarkStart w:id="5" w:name="_Toc98420016"/>
      <w:r>
        <w:rPr>
          <w:color w:val="auto"/>
          <w:sz w:val="28"/>
          <w:szCs w:val="28"/>
        </w:rPr>
        <w:t>1.2.2 Требования к представлению учебного материала</w:t>
      </w:r>
      <w:bookmarkEnd w:id="5"/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При оформлении ЭОР необходимо придерживаться следующих правил, обеспечивающий высокое качество разрабатываемого ресурса [5]: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360" w:before="0" w:after="0"/>
        <w:ind w:left="0" w:right="0" w:firstLine="709"/>
        <w:contextualSpacing w:val="false"/>
        <w:jc w:val="both"/>
        <w:rPr/>
      </w:pPr>
      <w:r>
        <w:rPr>
          <w:sz w:val="28"/>
          <w:szCs w:val="28"/>
        </w:rPr>
        <w:t>Единый стиль оформления контента в рамках ЭОР.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360" w:before="0" w:after="0"/>
        <w:ind w:left="0" w:right="0" w:firstLine="709"/>
        <w:contextualSpacing w:val="false"/>
        <w:jc w:val="both"/>
        <w:rPr/>
      </w:pPr>
      <w:r>
        <w:rPr>
          <w:sz w:val="28"/>
          <w:szCs w:val="28"/>
        </w:rPr>
        <w:t>Удобство работы с оглавлением ЭОР, словарём, поисковыми системами и т. п.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360" w:before="0" w:after="0"/>
        <w:ind w:left="0" w:right="0" w:firstLine="709"/>
        <w:contextualSpacing w:val="false"/>
        <w:jc w:val="both"/>
        <w:rPr/>
      </w:pPr>
      <w:r>
        <w:rPr>
          <w:sz w:val="28"/>
          <w:szCs w:val="28"/>
        </w:rPr>
        <w:t>Представление текстового учебного материала должно быть предельно лаконично.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360" w:before="0" w:after="0"/>
        <w:ind w:left="0" w:right="0" w:firstLine="709"/>
        <w:contextualSpacing w:val="false"/>
        <w:jc w:val="both"/>
        <w:rPr/>
      </w:pPr>
      <w:r>
        <w:rPr>
          <w:sz w:val="28"/>
          <w:szCs w:val="28"/>
        </w:rPr>
        <w:t>Оформление не должно отвлекать пользователя от содержательной составляющей, однако должно качественно предоставлять все необходимые средства управления.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360" w:before="0" w:after="0"/>
        <w:ind w:left="0" w:right="0" w:firstLine="709"/>
        <w:contextualSpacing w:val="false"/>
        <w:jc w:val="both"/>
        <w:rPr/>
      </w:pPr>
      <w:r>
        <w:rPr>
          <w:sz w:val="28"/>
          <w:szCs w:val="28"/>
        </w:rPr>
        <w:t>Обоснованность применения мультимедиа и графической информации.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360" w:before="0" w:after="0"/>
        <w:ind w:left="0" w:right="0" w:firstLine="709"/>
        <w:contextualSpacing w:val="false"/>
        <w:jc w:val="both"/>
        <w:rPr/>
      </w:pPr>
      <w:r>
        <w:rPr>
          <w:sz w:val="28"/>
          <w:szCs w:val="28"/>
        </w:rPr>
        <w:t>Рациональное использование пространства визуальных компонентов.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360" w:before="0" w:after="0"/>
        <w:ind w:left="0" w:right="0" w:firstLine="709"/>
        <w:contextualSpacing w:val="false"/>
        <w:jc w:val="both"/>
        <w:rPr/>
      </w:pPr>
      <w:r>
        <w:rPr>
          <w:sz w:val="28"/>
          <w:szCs w:val="28"/>
        </w:rPr>
        <w:t>Интерфейс должен быть дружелюбным (наличие справки, «всплывающих» подсказок и т.п.).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Также электронный образовательный ресурс может содержать интерактивные элементы. Выделяют четыре уровня интерактивности: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Первый уровень интерактивности: условно-пассивные формы. Ресурс не предоставляет никаких интерактивных элементов. Например, пользователь читает текст, просматривает изображения и видео, прослушивает аудиозаписи.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2. Второй уровень интерактивности: активные формы. Ресурс предоставляет элементарные интерактивные элементы (нажатие на клавиши или клики мыши). На данном уровне можно встретить навигацию по гиперссылкам, викторины и задания с выбором ответа, различные просмотрщики сложных объектов (трёхмерных объектов, больших изображений и т.п.).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3. Третий уровень интерактивности: деятельностные формы. Учащиеся взаимодействуют с учебными объектами по заранее определённым алгоритмам; при этом производится оценка ошибок и отклонений. Этот вид форм предоставляет учащимся большую степень свободы. Учащиеся самостоятельно выбирают направление деятельности; но в результате они должны прийти к единственно верному решению, т.е. сценарий учебной задачи определён заранее. К деятельностным формам можно отнести: тестирование с обратной связью, симуляторы процессов, позволяющие менять параметры и т. 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4. Четвёртый уровень интерактивности: исследовательские формы. Учащиеся выступают в роли источника событий. События вызывают изменения в свойствах изучаемого предмета. Главное отличие форм четвёртого уровня от рассмотренных ранее заключается в том, что состояния изучаемых объектов и процессов четвёртой формы не могут быть определены заранее.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Таким образом, формы первого, второго и третьего уровней являются «детерминированными»: все варианты действий пользователя заранее предусмотрены, существует только одно решение, которое считается верным. Формы четвёртого уровня − «недетерминированные»: при создании электронного образовательного ресурса определены только исходные элементы содержимого и параметры процессов. В этом случае определить или предугадать все действия или ошибки пользователя невозможно.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Уровень интерактивности ресурса определяется применяемыми формами взаимодействия учащегося с образовательным контентом.</w:t>
      </w:r>
    </w:p>
    <w:p>
      <w:pPr>
        <w:pStyle w:val="Titre2"/>
        <w:spacing w:before="451" w:after="451"/>
        <w:rPr>
          <w:sz w:val="28"/>
          <w:szCs w:val="28"/>
        </w:rPr>
      </w:pPr>
      <w:bookmarkStart w:id="6" w:name="_Toc98420017"/>
      <w:r>
        <w:rPr>
          <w:sz w:val="28"/>
          <w:szCs w:val="28"/>
        </w:rPr>
        <w:t>1.3 Обзор инструментов для создания ЭОР</w:t>
      </w:r>
      <w:bookmarkEnd w:id="6"/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Значительно ускорить процесс разработки ЭОР можно с помощью специализированных программ.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Выделяют несколько основных классов инструментов, используемых при разработке ЭОР:</w:t>
      </w:r>
    </w:p>
    <w:p>
      <w:pPr>
        <w:pStyle w:val="Normal"/>
        <w:widowControl/>
        <w:numPr>
          <w:ilvl w:val="0"/>
          <w:numId w:val="5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Средства публикации ЭОР: Microsoft Office, Microsoft Excel, Microsoft PowerPoint, Adobe Flash, iSpring Suite и т. п. При помощи этих средств можно создать цифровой ресурс, экспортируемый, как правило, в формат SCORM.</w:t>
      </w:r>
    </w:p>
    <w:p>
      <w:pPr>
        <w:pStyle w:val="Normal"/>
        <w:widowControl/>
        <w:numPr>
          <w:ilvl w:val="0"/>
          <w:numId w:val="5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Самостоятельно разработанные программные продукты. Современные высокоуровневые языки программирования (Python, Java, PHP, JavaScript и т. д.) позволяют разработать электронный ресурс любого типа, например, в виде веб-приложения.</w:t>
      </w:r>
    </w:p>
    <w:p>
      <w:pPr>
        <w:pStyle w:val="Normal"/>
        <w:widowControl/>
        <w:numPr>
          <w:ilvl w:val="0"/>
          <w:numId w:val="5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 xml:space="preserve">Системы управления обучением. С ускорением развития сети Интернет, в 2000-е годы средства публикации ЭОР и отдельные программные проекты преобразовались в типовые системы, стандартизирующие процессы управления обучением, например, Moodle, ATutor, Sakai  и т. п. </w:t>
      </w:r>
      <w:r>
        <w:rPr>
          <w:sz w:val="28"/>
          <w:szCs w:val="28"/>
          <w:highlight w:val="white"/>
        </w:rPr>
        <w:t xml:space="preserve">В 2004 году </w:t>
      </w:r>
      <w:r>
        <w:rPr>
          <w:sz w:val="28"/>
          <w:szCs w:val="28"/>
          <w:highlight w:val="white"/>
        </w:rPr>
        <w:t>был разработан</w:t>
      </w:r>
      <w:r>
        <w:rPr>
          <w:sz w:val="28"/>
          <w:szCs w:val="28"/>
          <w:highlight w:val="white"/>
        </w:rPr>
        <w:t xml:space="preserve"> стандарт SCORM, который позволяет использовать совместно материалы различных курсов.</w:t>
      </w:r>
    </w:p>
    <w:p>
      <w:pPr>
        <w:pStyle w:val="Titre3"/>
        <w:spacing w:before="451" w:after="451"/>
        <w:rPr>
          <w:sz w:val="28"/>
          <w:szCs w:val="28"/>
        </w:rPr>
      </w:pPr>
      <w:bookmarkStart w:id="7" w:name="_Toc98420018"/>
      <w:r>
        <w:rPr>
          <w:color w:val="auto"/>
          <w:sz w:val="28"/>
          <w:szCs w:val="28"/>
        </w:rPr>
        <w:t>1.3.1 LMS Moodle</w:t>
      </w:r>
      <w:bookmarkEnd w:id="7"/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 xml:space="preserve">Moodle </w:t>
      </w:r>
      <w:r>
        <w:rPr>
          <w:sz w:val="28"/>
          <w:szCs w:val="28"/>
        </w:rPr>
        <w:t xml:space="preserve">(от англ. Modular Object-Oriented Dynamic Learning Environment — модульная объектно-ориентированная динамическая обучающая среда) </w:t>
      </w:r>
      <w:r>
        <w:rPr>
          <w:sz w:val="28"/>
          <w:szCs w:val="28"/>
        </w:rPr>
        <w:t xml:space="preserve">— это система управления курсами. </w:t>
      </w:r>
      <w:r>
        <w:rPr>
          <w:sz w:val="28"/>
          <w:szCs w:val="28"/>
        </w:rPr>
        <w:t>Moodle — это свободное программное обеспечение, распространяемое по лицензии GNU GPL, написанное на языках программирования PHP и JavaScript.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  <w:highlight w:val="white"/>
        </w:rPr>
        <w:t>СДО Moodle занимает примерно 18 % рынка в США.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  <w:highlight w:val="white"/>
        </w:rPr>
        <w:t>Систему Moodle можно рассматривать как набор сервисов:</w:t>
      </w:r>
    </w:p>
    <w:p>
      <w:pPr>
        <w:pStyle w:val="Normal"/>
        <w:widowControl/>
        <w:numPr>
          <w:ilvl w:val="0"/>
          <w:numId w:val="6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  <w:highlight w:val="white"/>
        </w:rPr>
        <w:t>сервис аутентификации и авторизации: пользователи имеют разные роли и, следовательно, возможности;</w:t>
      </w:r>
    </w:p>
    <w:p>
      <w:pPr>
        <w:pStyle w:val="Normal"/>
        <w:widowControl/>
        <w:numPr>
          <w:ilvl w:val="0"/>
          <w:numId w:val="6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  <w:highlight w:val="white"/>
        </w:rPr>
        <w:t>система управления содержимым, ориентированная на управление курсами и учебными материалами: пользователи могут выкладывать и редактировать различные материалы;</w:t>
      </w:r>
    </w:p>
    <w:p>
      <w:pPr>
        <w:pStyle w:val="Normal"/>
        <w:widowControl/>
        <w:numPr>
          <w:ilvl w:val="0"/>
          <w:numId w:val="6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  <w:highlight w:val="white"/>
        </w:rPr>
        <w:t>система для коммуникации между пользователями: система позволяет создавать чаты и форумы, совершать массовые рассылки и отправлять личные сообщения;</w:t>
      </w:r>
    </w:p>
    <w:p>
      <w:pPr>
        <w:pStyle w:val="Normal"/>
        <w:widowControl/>
        <w:numPr>
          <w:ilvl w:val="0"/>
          <w:numId w:val="6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  <w:highlight w:val="white"/>
        </w:rPr>
        <w:t>система журналирования и ведения статистики: пользователи могут вести портфолио; преподаватели — анализировать и учитывать компетенции и промежуточные результаты;</w:t>
      </w:r>
    </w:p>
    <w:p>
      <w:pPr>
        <w:pStyle w:val="Normal"/>
        <w:widowControl/>
        <w:numPr>
          <w:ilvl w:val="0"/>
          <w:numId w:val="6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  <w:highlight w:val="white"/>
        </w:rPr>
        <w:t>программные интерфейсы, например, для реализации мобильных клиентов.</w:t>
      </w:r>
    </w:p>
    <w:p>
      <w:pPr>
        <w:pStyle w:val="Titre3"/>
        <w:spacing w:before="451" w:after="451"/>
        <w:rPr>
          <w:sz w:val="28"/>
          <w:szCs w:val="28"/>
        </w:rPr>
      </w:pPr>
      <w:bookmarkStart w:id="8" w:name="_Toc98420019"/>
      <w:r>
        <w:rPr>
          <w:color w:val="auto"/>
          <w:sz w:val="28"/>
          <w:szCs w:val="28"/>
        </w:rPr>
        <w:t>1.3.2 CMS-базированные решения</w:t>
      </w:r>
      <w:bookmarkEnd w:id="8"/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  <w:highlight w:val="white"/>
        </w:rPr>
        <w:t>Система управления содержимым (</w:t>
      </w:r>
      <w:r>
        <w:rPr>
          <w:rFonts w:ascii="Times New Roman" w:hAnsi="Times New Roman"/>
          <w:b w:val="false"/>
          <w:bCs w:val="false"/>
          <w:sz w:val="28"/>
          <w:szCs w:val="28"/>
          <w:highlight w:val="white"/>
        </w:rPr>
        <w:t xml:space="preserve">от </w:t>
      </w:r>
      <w:r>
        <w:rPr>
          <w:rFonts w:ascii="Times New Roman" w:hAnsi="Times New Roman"/>
          <w:b w:val="false"/>
          <w:bCs w:val="false"/>
          <w:sz w:val="28"/>
          <w:szCs w:val="28"/>
          <w:highlight w:val="white"/>
        </w:rPr>
        <w:t>англ. Content management system, CM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S, система управления контентом) —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это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программное обеспечение, которое позволяет управлять контентом: создавать и публиковать фотографии, текст, размещать виджеты, менять дизайн и другие элементы. Системы управления содержимым позволяют пользователю управлять сайтом в удобном интерфейсе. При этом системы управления содержимым целенаправленно разрабатываются для обычных пользователей, не владеющих языками программирования.</w:t>
      </w:r>
    </w:p>
    <w:p>
      <w:pPr>
        <w:pStyle w:val="Corpsdetexte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Стандартная система управления содержанием сайта позволяет:</w:t>
      </w:r>
    </w:p>
    <w:p>
      <w:pPr>
        <w:pStyle w:val="Corpsdetexte"/>
        <w:widowControl/>
        <w:numPr>
          <w:ilvl w:val="0"/>
          <w:numId w:val="7"/>
        </w:numPr>
        <w:pBdr/>
        <w:suppressAutoHyphens w:val="true"/>
        <w:bidi w:val="0"/>
        <w:spacing w:lineRule="auto" w:line="360" w:before="0" w:after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наполнять страницы сайта любым типом информации (фотографиями, видео, текстами, документами и др.),</w:t>
      </w:r>
    </w:p>
    <w:p>
      <w:pPr>
        <w:pStyle w:val="Corpsdetexte"/>
        <w:widowControl/>
        <w:numPr>
          <w:ilvl w:val="0"/>
          <w:numId w:val="7"/>
        </w:numPr>
        <w:pBdr/>
        <w:suppressAutoHyphens w:val="true"/>
        <w:bidi w:val="0"/>
        <w:spacing w:lineRule="auto" w:line="360" w:before="0" w:after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быстро изменять внешний вид как всего сайта, так и отдельной страницы,</w:t>
      </w:r>
    </w:p>
    <w:p>
      <w:pPr>
        <w:pStyle w:val="Corpsdetexte"/>
        <w:widowControl/>
        <w:numPr>
          <w:ilvl w:val="0"/>
          <w:numId w:val="7"/>
        </w:numPr>
        <w:pBdr/>
        <w:suppressAutoHyphens w:val="true"/>
        <w:bidi w:val="0"/>
        <w:spacing w:lineRule="auto" w:line="360" w:before="0" w:after="0"/>
        <w:jc w:val="both"/>
        <w:rPr>
          <w:rFonts w:ascii="Times New Roman" w:hAnsi="Times New Roman"/>
          <w:b w:val="false"/>
          <w:color w:val="000000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настраивать дополнительные элементы сайта при помощи плагинов или кода.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highlight w:val="white"/>
        </w:rPr>
        <w:t>Возможность разместить в сети Интернет и, при необходимости, редактировать документы, мультимедиа и клиентские скрипты JavaScript позволяет утверждать, что системы управления веб-содержимым могут быть использованы в качестве систем управления обучением.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highlight w:val="white"/>
        </w:rPr>
        <w:t>Основным отличием систем управления содержимым от систем управления обучением является множество покрываемых задач: системы управления контентом по умолчанию предоставляют меньше возможностей (нет системы чатов, личных сообщений и т. п.). При этом, как правило, этот функционал может быть добавлен в виде плагинов.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highlight w:val="white"/>
        </w:rPr>
        <w:t>По данным лаборатории W3Techs, в 2015 году 25 % всех сайтов работали под управлением системы управления содержимым WordPress, в августе 2018 — более 30 %, а в марте 2020 — уже более 41 % (доля рынка систем управления контентом составляет 63 %).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Функционал </w:t>
      </w:r>
      <w:r>
        <w:rPr>
          <w:sz w:val="28"/>
          <w:szCs w:val="28"/>
          <w:highlight w:val="white"/>
        </w:rPr>
        <w:t>WordPress</w:t>
      </w:r>
      <w:r>
        <w:rPr>
          <w:sz w:val="28"/>
          <w:szCs w:val="28"/>
        </w:rPr>
        <w:t xml:space="preserve"> можно расширять при помощи платных и бесплатных плагинов. При этом среди бесплатных плагинов существует множество решений, позволяющих превратить </w:t>
      </w:r>
      <w:r>
        <w:rPr>
          <w:sz w:val="28"/>
          <w:szCs w:val="28"/>
          <w:highlight w:val="white"/>
        </w:rPr>
        <w:t>WordPress</w:t>
      </w:r>
      <w:r>
        <w:rPr>
          <w:sz w:val="28"/>
          <w:szCs w:val="28"/>
        </w:rPr>
        <w:t xml:space="preserve"> в систему управления обучением [18].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При проведение исследования было рассмотрено пять наиболее популярных (фильтрация по убыванию популярности в магазине приложений) бесплатных плагинов, добавляющих в 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 xml:space="preserve"> функционал системы управления обучением: </w:t>
      </w:r>
      <w:r>
        <w:rPr>
          <w:sz w:val="28"/>
          <w:szCs w:val="28"/>
          <w:lang w:val="en-US"/>
        </w:rPr>
        <w:t>LifterLMS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Sensei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LMS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Tutor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LMS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LearnPress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MasterStudy</w:t>
      </w:r>
      <w:r>
        <w:rPr>
          <w:sz w:val="28"/>
          <w:szCs w:val="28"/>
        </w:rPr>
        <w:t>. Все рассмотренные плагины предоставляют возможность создавать курсы, главы (уроки) и викторины [1].</w:t>
      </w:r>
    </w:p>
    <w:p>
      <w:pPr>
        <w:pStyle w:val="Titre3"/>
        <w:spacing w:before="451" w:after="451"/>
        <w:rPr>
          <w:sz w:val="28"/>
          <w:szCs w:val="28"/>
        </w:rPr>
      </w:pPr>
      <w:bookmarkStart w:id="9" w:name="_Toc98420020"/>
      <w:r>
        <w:rPr>
          <w:color w:val="auto"/>
          <w:sz w:val="28"/>
          <w:szCs w:val="28"/>
        </w:rPr>
        <w:t>1.3.3 Прочие инструменты</w:t>
      </w:r>
      <w:bookmarkEnd w:id="9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Отличительной чертой рассмотренных ранее инструментов является то, что они предлагают пользователю «некую свободу действий». Например, WordPress имеет открытый исходный код, который можно модифицировать и расширять любыми способами, которые допускает лицензия. Важно отметить, что среди рассмотренных плагинов расширять и модифицировать возможно только код плагина «</w:t>
      </w:r>
      <w:r>
        <w:rPr>
          <w:sz w:val="28"/>
          <w:szCs w:val="28"/>
          <w:lang w:val="en-US"/>
        </w:rPr>
        <w:t>Sensei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LMS»; все остальные плагины, даже имея открытый исходный код, в соответствии с лицензией, не могут быть модифицированы. </w:t>
      </w:r>
      <w:r>
        <w:rPr>
          <w:sz w:val="28"/>
          <w:szCs w:val="28"/>
        </w:rPr>
        <w:t>Система Moodle также имеет открытый исходный код, который при необходимости можно изменять. Отдельно стоит отметить, что рассмотренные системы — крайне популярны; популярность, в свою очередь, гарантирует большое количество уже готовых расширений и поддержку со стороны сообщества и разработчиков.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Помимо инструментов с открытым исходным кодом существует множество других проприетарных решений, например, iSpring Suite – расширение для PowerPoint. iSpring Suite позволяет создавать электронные тесты, диалоговые тренажёры, озвучивать слайды, записывать скринкасты, монтировать видео или создавать обучающие игры [8]. NeoBook Professional – система для разработки интерактивных элементов: тестов, анкет, небольших веб-приложений и т.д. и т.д.</w:t>
      </w:r>
    </w:p>
    <w:p>
      <w:pPr>
        <w:pStyle w:val="Titre2"/>
        <w:spacing w:before="451" w:after="451"/>
        <w:rPr>
          <w:sz w:val="28"/>
          <w:szCs w:val="28"/>
        </w:rPr>
      </w:pPr>
      <w:bookmarkStart w:id="10" w:name="_Toc98420021"/>
      <w:r>
        <w:rPr>
          <w:sz w:val="28"/>
          <w:szCs w:val="28"/>
        </w:rPr>
        <w:t>1.4 Этапы разработки ЭОР</w:t>
      </w:r>
      <w:bookmarkEnd w:id="10"/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Разработка ЭОР осуществляется в два этапа [17]:</w:t>
      </w:r>
    </w:p>
    <w:p>
      <w:pPr>
        <w:pStyle w:val="Normal"/>
        <w:widowControl/>
        <w:numPr>
          <w:ilvl w:val="0"/>
          <w:numId w:val="8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подготовка;</w:t>
      </w:r>
    </w:p>
    <w:p>
      <w:pPr>
        <w:pStyle w:val="Normal"/>
        <w:widowControl/>
        <w:numPr>
          <w:ilvl w:val="0"/>
          <w:numId w:val="8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компоновка.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На подготовительном этапе ведётся подбор или разработка исходных материалов для ЭОР (текстов, графических иллюстраций, анимационных, аудио и видеофрагментов и т. д.).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При необходимости приобретается программное обеспечение.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Для набора текстов, создания иллюстраций и анимаций используются программные средства общего назначения.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а этапе компоновки разработанные ранее части ресурса собираются в единую сущность, которая предоставляется учащимся.</w:t>
      </w:r>
    </w:p>
    <w:p>
      <w:pPr>
        <w:pStyle w:val="Normal"/>
        <w:widowControl/>
        <w:suppressAutoHyphens w:val="true"/>
        <w:bidi w:val="0"/>
        <w:spacing w:lineRule="auto" w:line="360" w:before="456" w:after="456"/>
        <w:ind w:left="0" w:right="0" w:firstLine="709"/>
        <w:jc w:val="both"/>
        <w:rPr/>
      </w:pPr>
      <w:bookmarkStart w:id="11" w:name="_Toc98420022"/>
      <w:r>
        <w:rPr>
          <w:sz w:val="28"/>
          <w:szCs w:val="28"/>
        </w:rPr>
        <w:t>1.5 Технологические особенности разработки ЭОР</w:t>
      </w:r>
      <w:bookmarkEnd w:id="11"/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 xml:space="preserve">Ко всем ЭОР  предъявляются следующие базовые требования </w:t>
      </w:r>
      <w:r>
        <w:rPr>
          <w:sz w:val="28"/>
          <w:szCs w:val="28"/>
        </w:rPr>
        <w:t>[17]</w:t>
      </w:r>
      <w:r>
        <w:rPr>
          <w:sz w:val="28"/>
          <w:szCs w:val="28"/>
        </w:rPr>
        <w:t>:</w:t>
      </w:r>
    </w:p>
    <w:p>
      <w:pPr>
        <w:pStyle w:val="Normal"/>
        <w:widowControl/>
        <w:numPr>
          <w:ilvl w:val="0"/>
          <w:numId w:val="9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Цели и задачи учебного плана, затрагиваемые в курсе, должны соответствовать образовательным стандартам.</w:t>
      </w:r>
    </w:p>
    <w:p>
      <w:pPr>
        <w:pStyle w:val="Normal"/>
        <w:widowControl/>
        <w:numPr>
          <w:ilvl w:val="0"/>
          <w:numId w:val="9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Содержание ЭОР (в том числе его элементы) должно быть актуальным.</w:t>
      </w:r>
    </w:p>
    <w:p>
      <w:pPr>
        <w:pStyle w:val="Normal"/>
        <w:widowControl/>
        <w:numPr>
          <w:ilvl w:val="0"/>
          <w:numId w:val="9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Сведения должны быть систематизированы и изложены в форме, удобной для изучения и преподавания.</w:t>
      </w:r>
    </w:p>
    <w:p>
      <w:pPr>
        <w:pStyle w:val="Normal"/>
        <w:widowControl/>
        <w:numPr>
          <w:ilvl w:val="0"/>
          <w:numId w:val="9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 xml:space="preserve">Материал ресурса должен быть разбит </w:t>
      </w:r>
      <w:r>
        <w:rPr>
          <w:sz w:val="28"/>
          <w:szCs w:val="28"/>
        </w:rPr>
        <w:t>на завершённые логические единицы, каждая из которых — минимальна по объёму.</w:t>
      </w:r>
    </w:p>
    <w:p>
      <w:pPr>
        <w:pStyle w:val="Normal"/>
        <w:widowControl/>
        <w:numPr>
          <w:ilvl w:val="0"/>
          <w:numId w:val="9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 xml:space="preserve">Логические единицы должны сопровождаться средствами контроля знаний, например, тестами. Учащиеся должны иметь доступ к средствам самоконтроля, предоставляющим обратную связь. Например, при прохождении теста следует давать пояснения к конкретному ответу, указывать на ошибку вместо того, чтобы просто отмечать правильный ответ; пример грамотной обратной связи представлен на рисунке </w:t>
      </w:r>
      <w:r>
        <w:rPr>
          <w:sz w:val="28"/>
          <w:szCs w:val="28"/>
        </w:rPr>
        <w:t>1.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360" w:before="0" w:after="227"/>
        <w:ind w:left="0" w:right="0" w:hanging="0"/>
        <w:jc w:val="center"/>
        <w:rPr/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474845" cy="5303520"/>
            <wp:effectExtent l="0" t="0" r="0" b="0"/>
            <wp:wrapTopAndBottom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0" t="0" r="0" b="84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845" cy="530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Рисунок 1 — контекстуализированная обратная связь</w:t>
      </w:r>
    </w:p>
    <w:p>
      <w:pPr>
        <w:pStyle w:val="Normal"/>
        <w:widowControl/>
        <w:numPr>
          <w:ilvl w:val="0"/>
          <w:numId w:val="9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Материалы ресурса должны предоставлять всю информацию, которая может понадобиться при прохождении контроля и тестовых заданий.</w:t>
      </w:r>
    </w:p>
    <w:p>
      <w:pPr>
        <w:pStyle w:val="Normal"/>
        <w:widowControl/>
        <w:numPr>
          <w:ilvl w:val="0"/>
          <w:numId w:val="9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При необходимости материал должен сопровождаться комментариями.</w:t>
      </w:r>
    </w:p>
    <w:p>
      <w:pPr>
        <w:pStyle w:val="Normal"/>
        <w:widowControl/>
        <w:numPr>
          <w:ilvl w:val="0"/>
          <w:numId w:val="9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Программная реализация ресурса должна быть качественной: корректно работать и быть отказоустойчивой.</w:t>
      </w:r>
    </w:p>
    <w:p>
      <w:pPr>
        <w:pStyle w:val="Normal"/>
        <w:widowControl/>
        <w:numPr>
          <w:ilvl w:val="0"/>
          <w:numId w:val="9"/>
        </w:numPr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Интерфейс ресурса должен быть интуитивно понятен, ясен и «дружественен» по отношению как к педагогу, так и к учащемуся.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09"/>
        <w:jc w:val="both"/>
        <w:rPr/>
      </w:pPr>
      <w:r>
        <w:rPr>
          <w:sz w:val="28"/>
          <w:szCs w:val="28"/>
        </w:rPr>
        <w:t>Особое внимание следует уделять изображения, схемам, аудио и видео материалам. Графические материалы усваиваются лучше обычного текста и повышает эффективность восприятия информации (до 89% по данным исследований [15]). Кроме того, материал становится более понятным. Графический материал должен располагаться как можно ближе к текстовым пояснениям.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Электронный образовательный ресурс должен мотивировать учащегося. Учащийся должен быть заинтересован в результате. Например, для повышения мотивации можно прибегнуть к геймификации или внедрить упражнения и задачи с возрастающей сложностью. Необходимо обращаться к таким эмоциям учащегося, как удивление, любопытство или интерес.</w:t>
      </w:r>
      <w:r>
        <w:br w:type="page"/>
      </w:r>
    </w:p>
    <w:p>
      <w:pPr>
        <w:pStyle w:val="Titre1"/>
        <w:spacing w:before="0" w:after="454"/>
        <w:rPr>
          <w:sz w:val="28"/>
          <w:szCs w:val="28"/>
        </w:rPr>
      </w:pPr>
      <w:bookmarkStart w:id="12" w:name="_Toc98420023"/>
      <w:r>
        <w:rPr>
          <w:sz w:val="28"/>
          <w:szCs w:val="28"/>
        </w:rPr>
        <w:t>2 РАЗРАБОТКА ЭОР</w:t>
      </w:r>
      <w:bookmarkEnd w:id="12"/>
    </w:p>
    <w:p>
      <w:pPr>
        <w:pStyle w:val="Titre2"/>
        <w:spacing w:before="451" w:after="451"/>
        <w:rPr>
          <w:sz w:val="28"/>
          <w:szCs w:val="28"/>
        </w:rPr>
      </w:pPr>
      <w:bookmarkStart w:id="13" w:name="_Toc98420024"/>
      <w:r>
        <w:rPr>
          <w:sz w:val="28"/>
          <w:szCs w:val="28"/>
        </w:rPr>
        <w:t>2.1 Адаптация требований к ЭОР</w:t>
      </w:r>
      <w:bookmarkEnd w:id="13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Методология Agile чётко определяет принципы гибкой разработки программного обеспечения, но не предлагает никаких конкретных инженерных и практических методов. Культура DevOps является сугубо практическим ответвлением методологии Agile и, таким образом, предлагает недостающие решения и методы; в свою очередь, непрерывная интеграция и непрерывное развёртывание являются проявлениями DevOps [6]. Отсюда можно сделать вывод, что материалы, используемые для изучения методологии CI/CD должны иметь практическую направленность.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 сегодняшний день существует большое количество инструментов и сервисов для реализации CI/CD. В каждой программной среде выработался свой набор инструментов [2]. При этом инструменты одной среды идейно схожи с инструментами другой среды. Например, для написания автоматизированных тестов в Java-среде используется библиотека «</w:t>
      </w:r>
      <w:r>
        <w:rPr>
          <w:sz w:val="28"/>
          <w:szCs w:val="28"/>
          <w:lang w:val="en-US"/>
        </w:rPr>
        <w:t>Junit</w:t>
      </w:r>
      <w:r>
        <w:rPr>
          <w:sz w:val="28"/>
          <w:szCs w:val="28"/>
        </w:rPr>
        <w:t xml:space="preserve">». Эта библиотека была первой в своём роде и получила настолько широкое распространение, что разработчики других сред начали копировать её интерфейсы. Так PHP-разработчики скопировали успешные интерфейсы </w:t>
      </w:r>
      <w:r>
        <w:rPr>
          <w:sz w:val="28"/>
          <w:szCs w:val="28"/>
          <w:lang w:val="en-US"/>
        </w:rPr>
        <w:t>Junit</w:t>
      </w:r>
      <w:r>
        <w:rPr>
          <w:sz w:val="28"/>
          <w:szCs w:val="28"/>
        </w:rPr>
        <w:t xml:space="preserve"> и назвали получившийся продукт «PHPUnit». Похожим образом поступили разработчики Python, разработав модуль «unittest», который нарушает стандарты PEP 8, копируя оригинальные интерфейсы из </w:t>
      </w:r>
      <w:r>
        <w:rPr>
          <w:sz w:val="28"/>
          <w:szCs w:val="28"/>
          <w:lang w:val="en-US"/>
        </w:rPr>
        <w:t>Junit</w:t>
      </w:r>
      <w:r>
        <w:rPr>
          <w:sz w:val="28"/>
          <w:szCs w:val="28"/>
        </w:rPr>
        <w:t xml:space="preserve"> [16]. Другой пример – статические анализаторы кода: «PHPStan» – для PHP, «Pylint» – для Python, а в случае Java – встроенный компилятор. Поэтому разрабатываемый образовательный ресурс должен быть нацелен на то, чтобы донести до учащихся факт существования схожих классов инструментов и общие принципы работы с ними, но не рассматривать каждый конкретный инструмент в деталях.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Другая важная проблема заключается в том, что рассмотрение инструментов без повторений и реального примера ведёт к быстрому забыванию материала. Отсюда следует, что образовательный ресурс должен предлагать учащимся, как минимум, третий уровень интерактивности.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Одно из возможных решений заключается в следующем: учащиеся, руководствуясь предоставленными теоретическими материалами, дополняют рассмотренные примеры, и таким образом реализуют полноценный CI/CD-пайплайн в контексте современного веб-проекта. При этом результат их деятельности, во-первых, становится виден сразу, что повышает мотивацию, во-вторых, сохраняется в справочной форме. Например, при изучении возможностей GitHub Actions по параллелизации задач, неоднократное повторение и демонстрация возможностей сервиса отложит в головах учащихся факт существования и сферы применения параллелизации в сервисе GitHub Actions; если учащиеся забудут конкретные параметры, они всегда смогут вернуться к файлу с конфигурацией и воспользоваться им как справочником.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Разработка типового веб-проекта не входит в материалы курса и является отдельной обширной темой, рассматриваемой сразу в нескольких дисциплинах. Следовательно, учащиеся должны иметь возможность быстро, а главное, не вдаваясь в подробности, заполучить некий веб-проект, к которому и будет применена методология CI/CD. Учащиеся могут воспользоваться проектами, которые они разработали ранее; или – уже существующими демонстрационными приложениями, например, «Symfony Demo Application». Последний вариант является более предпочтительным, поскольку демонстрационные приложения обычно задействуют более широкий спектр технологий: они покрыты тестами, включают линтеры, сканеры зависимостей и т.д.</w:t>
      </w:r>
    </w:p>
    <w:p>
      <w:pPr>
        <w:pStyle w:val="Titre2"/>
        <w:spacing w:before="394" w:after="394"/>
        <w:rPr>
          <w:sz w:val="28"/>
          <w:szCs w:val="28"/>
        </w:rPr>
      </w:pPr>
      <w:bookmarkStart w:id="14" w:name="_Toc98420025"/>
      <w:r>
        <w:rPr>
          <w:sz w:val="28"/>
          <w:szCs w:val="28"/>
        </w:rPr>
        <w:t>2.2 Проектирование ЭОР</w:t>
      </w:r>
      <w:bookmarkEnd w:id="14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Перед началом разработки электронного образовательного ресурса необходимо подготовить сценарий и подобрать инструменты [7].</w:t>
      </w:r>
    </w:p>
    <w:p>
      <w:pPr>
        <w:pStyle w:val="Titre3"/>
        <w:spacing w:before="0" w:after="448"/>
        <w:rPr>
          <w:sz w:val="28"/>
          <w:szCs w:val="28"/>
        </w:rPr>
      </w:pPr>
      <w:bookmarkStart w:id="15" w:name="_Toc98420026"/>
      <w:r>
        <w:rPr>
          <w:color w:val="auto"/>
          <w:sz w:val="28"/>
          <w:szCs w:val="28"/>
        </w:rPr>
        <w:t>2.2.1 Структура ЭОР</w:t>
      </w:r>
      <w:bookmarkEnd w:id="15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Разрабатываемый электронный образовательный ресурс представляет собой цикл статей, которые можно разбить на три основных раздела: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1. Введение.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2. Непрерывная интеграция (Continuous Integration).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3. Непрерывная доставка и развёртывание (Continuous Delivery/Deployment).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Во введении рассматривается роль методологии CI/CD в современных циклах разработки ПО, её связь с DevOps и Agile, преимущества и недостатки, общие понятия. Основная задача введения – показать значимость и, как следствие, вездесущность методологии CI/CD. Этот раздел содержит исключительно теоретические материалы: текст и изображения. Раздел оканчивается викториной. Викторина предоставляет обратную связь, незамедлительно обозначая неверные ответы и пояснения к ним.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Второй раздел рассматривает непрерывную интеграцию и имеет практическую направленность. Порядок рассмотрения инструментов и, как следствие, глав определяется типовым сценарием работы с настоящим проектом. По этой же причине реальная задача и её практическое решение предшествуют теории. Детальная информация о втором разделе представлена в таблице 1.</w:t>
      </w:r>
    </w:p>
    <w:tbl>
      <w:tblPr>
        <w:tblStyle w:val="af3"/>
        <w:tblW w:w="99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4"/>
        <w:gridCol w:w="3544"/>
        <w:gridCol w:w="5675"/>
      </w:tblGrid>
      <w:tr>
        <w:trPr/>
        <w:tc>
          <w:tcPr>
            <w:tcW w:w="9913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240" w:after="24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Таблица 1 – Главы второго раздела</w:t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 xml:space="preserve">№ </w:t>
            </w: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п/п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Название главы</w:t>
            </w:r>
          </w:p>
        </w:tc>
        <w:tc>
          <w:tcPr>
            <w:tcW w:w="56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Рассматриваемые инструменты и понятия</w:t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SSH: Защищённое соединение</w:t>
            </w:r>
          </w:p>
        </w:tc>
        <w:tc>
          <w:tcPr>
            <w:tcW w:w="56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SSH, ssh-keygen, асинхронное шифрование, ssh-agent, конфигурирование SSH-ключей в GitHub и GitLab</w:t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Размещение проекта в GitHub</w:t>
            </w:r>
          </w:p>
        </w:tc>
        <w:tc>
          <w:tcPr>
            <w:tcW w:w="56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Проект «Symfony Demo Application», форк репозитория, основы работы с Git, настройки GitHub Actions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f3"/>
        <w:tblW w:w="991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4"/>
        <w:gridCol w:w="3544"/>
        <w:gridCol w:w="5675"/>
      </w:tblGrid>
      <w:tr>
        <w:trPr/>
        <w:tc>
          <w:tcPr>
            <w:tcW w:w="9913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4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Продолжение таблицы 1</w:t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Директория .github</w:t>
            </w:r>
            <w:r>
              <w:rPr>
                <w:rFonts w:eastAsia="Arial"/>
                <w:kern w:val="0"/>
                <w:sz w:val="28"/>
                <w:szCs w:val="28"/>
                <w:lang w:val="en-US" w:eastAsia="ru-RU" w:bidi="ar-SA"/>
              </w:rPr>
              <w:t>:</w:t>
            </w: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 xml:space="preserve"> первый пайплайн</w:t>
            </w:r>
          </w:p>
        </w:tc>
        <w:tc>
          <w:tcPr>
            <w:tcW w:w="56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Механизм событий и подписчиков, пайплайн (workflow), задача (job), action-приложение, отчёт по пайплайну, отлавливание ошибок в пайплайнах</w:t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Кеш GitHub: ускорение пайплайнов</w:t>
            </w:r>
          </w:p>
        </w:tc>
        <w:tc>
          <w:tcPr>
            <w:tcW w:w="56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Менеджер зависимостей (на примере Composer), .lock-файлы, ограничения GitHub Actions, кеширование (приложение actions/cache), язык выражений, контексты, функции</w:t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PHPUnit: автоматизированное тестирование</w:t>
            </w:r>
          </w:p>
        </w:tc>
        <w:tc>
          <w:tcPr>
            <w:tcW w:w="56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TDD и Test First Design, PHPUnit, автоматизированные тесты, семантическое версионирование</w:t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Линтеры: как не забыть про точку с запятой</w:t>
            </w:r>
          </w:p>
        </w:tc>
        <w:tc>
          <w:tcPr>
            <w:tcW w:w="56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Линтер, DI-контейнер, параллелизация, создание action-приложений, теги Git</w:t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PHP CS Fixer: стандарты написания кода</w:t>
            </w:r>
          </w:p>
        </w:tc>
        <w:tc>
          <w:tcPr>
            <w:tcW w:w="56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Стандарты написания кода, стандартные рекомендации (на примере PSR), параметризация action-приложений, PHP CS Fixer</w:t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PHPStan: типобезопасность без компиляции</w:t>
            </w:r>
          </w:p>
        </w:tc>
        <w:tc>
          <w:tcPr>
            <w:tcW w:w="56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Статический анализатор кода (на примере PHPStan)</w:t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Symfony CLI: поиск уязвимостей в зависимостях</w:t>
            </w:r>
          </w:p>
        </w:tc>
        <w:tc>
          <w:tcPr>
            <w:tcW w:w="56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Автоматизированная проверка рабочего окружения, проверка зависимостей проекта на уязвимости, периодические события GitHub Actions</w:t>
            </w:r>
          </w:p>
        </w:tc>
      </w:tr>
    </w:tbl>
    <w:p>
      <w:pPr>
        <w:pStyle w:val="Normal"/>
        <w:spacing w:beforeAutospacing="1" w:after="0"/>
        <w:rPr>
          <w:sz w:val="28"/>
          <w:szCs w:val="28"/>
        </w:rPr>
      </w:pPr>
      <w:r>
        <w:rPr>
          <w:sz w:val="28"/>
          <w:szCs w:val="28"/>
        </w:rPr>
        <w:t>В первой главе учащиеся знакомятся с протоколом SSH на прикладном уровне. Учащиеся должны сгенерировать пару ключей, настроить SSH-агент и добавить сгенерированный публичный ключ в настройки GitHub.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Во второй главе учащиеся размещают копии проекта «Symfony Demo Application» в их GitHub-репозитории.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третьей главе учащиеся создают примитивный пайплайн. Для этого они создают новую Git-ветку, в которой будет происходить дальнейшая работа, знакомятся с основными понятиями пайплайна и создают две версии пайплайна: один, завершающийся успешно, второй – с ошибкой. Глава завершается викториной, посвящённой основным понятиям GitHub Actions (workflow, event, job, action) и основам синтаксиса конфигурационных файлов.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четвёртой главе учащиеся настраивают кеш зависимостей проекта, предварительно установив их. Учащиеся должны добавить в пайплайн два новых шага: установку зависимостей и их кеширование.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пятой главе учащиеся знакомятся с автоматизированными тестами на примере фреймворка «PHPUnit». Учащиеся должны добавить в пайплайн новый шаг, отвечающий за тестирование.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шестой главе учащиеся знакомятся с линтерами как классом утилит и основами разработки action-приложений. Учащиеся должны добавить 4 однотипных шага в пайплайн; после этого они должны вынести повторяющиеся элементы в отдельное приложение и разбить одну задачу на две меньших. Глава завершается викториной; вопросы викторины посвящены структуре файлов конфигурации пайплайнов и action-приложений (язык выражений, контексты, возможные опции и т.п.).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седьмой главе учащиеся знакомятся с классом утилит, отвечающих за проверку кода на соответствие стандартам форматирования. Учащиеся должны выпустить новую параметризованную версию action-приложения, разработанного в предыдущей главе, и добавить новый шаг в пайплайн.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восьмой главе учащиеся знакомятся со статическими анализаторами кода. Для этого учащиеся должны установить и настроить утилиту «PHPStan» и добавить новый шаг в пайплайн.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последней главе второго раздела учащиеся знакомятся с утилитой Symfony CLI. Учащиеся должны выпустить новую версию приложения, разработанного в шестой главе, добавив в него проверку рабочего окружения и создать новый пайплайн, запускаемый периодически, главной задачей которого является поиск уязвимостей в зависимостях проекта.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конце раздела располагается обобщающая викторина. Вопросы этой викторины призваны закрепить все навыки, полученные в ходе освоения материалов раздела, и имеют дистинктивный характер. Последнее качество вынуждает учащихся выявить и запомнить различия между рассмотренными инструментами.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Изменения в очерёдности глав – невозможны. Порядок определён сценарием и взаимосвязью между рассматриваемыми технологиями. Например, SSH рассматривается и настраивается в самом начале, потому что учащиеся в следующих главах должны взаимодействовать с репозиториями GitHub по этому протоколу [11].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Третий раздел рассматривает непрерывную доставку и непрерывное развёртывание и также имеет практическую направленность. Со списком рассматриваемых понятий и инструментов можно ознакомиться в таблице 2.</w:t>
      </w:r>
    </w:p>
    <w:tbl>
      <w:tblPr>
        <w:tblStyle w:val="af3"/>
        <w:tblW w:w="991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79"/>
        <w:gridCol w:w="4379"/>
        <w:gridCol w:w="4356"/>
      </w:tblGrid>
      <w:tr>
        <w:trPr/>
        <w:tc>
          <w:tcPr>
            <w:tcW w:w="9914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240" w:after="24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Таблица 2 – Главы третьего раздела</w:t>
            </w:r>
          </w:p>
        </w:tc>
      </w:tr>
      <w:tr>
        <w:trPr/>
        <w:tc>
          <w:tcPr>
            <w:tcW w:w="117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 xml:space="preserve">№ </w:t>
            </w: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п/п</w:t>
            </w:r>
          </w:p>
        </w:tc>
        <w:tc>
          <w:tcPr>
            <w:tcW w:w="437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Название главы</w:t>
            </w:r>
          </w:p>
        </w:tc>
        <w:tc>
          <w:tcPr>
            <w:tcW w:w="43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Рассматриваемые инструменты и понятия</w:t>
            </w:r>
          </w:p>
        </w:tc>
      </w:tr>
      <w:tr>
        <w:trPr/>
        <w:tc>
          <w:tcPr>
            <w:tcW w:w="117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437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Подготовка сервера</w:t>
            </w:r>
          </w:p>
        </w:tc>
        <w:tc>
          <w:tcPr>
            <w:tcW w:w="43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Хостинг, ACL, Nginx, CGI (на примере PHP-FPM)</w:t>
            </w:r>
          </w:p>
        </w:tc>
      </w:tr>
      <w:tr>
        <w:trPr/>
        <w:tc>
          <w:tcPr>
            <w:tcW w:w="117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437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Rsync: ручная доставка</w:t>
            </w:r>
          </w:p>
        </w:tc>
        <w:tc>
          <w:tcPr>
            <w:tcW w:w="43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Rsync, GitHub Secrets, sshpass</w:t>
            </w:r>
          </w:p>
        </w:tc>
      </w:tr>
      <w:tr>
        <w:trPr/>
        <w:tc>
          <w:tcPr>
            <w:tcW w:w="117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437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Deployer: автоматическая доставка и развёртывание</w:t>
            </w:r>
          </w:p>
        </w:tc>
        <w:tc>
          <w:tcPr>
            <w:tcW w:w="43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.env-файлы, Deployer</w:t>
            </w:r>
          </w:p>
        </w:tc>
      </w:tr>
      <w:tr>
        <w:trPr/>
        <w:tc>
          <w:tcPr>
            <w:tcW w:w="117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437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Теги и релизы: порядок в пайплайне</w:t>
            </w:r>
          </w:p>
        </w:tc>
        <w:tc>
          <w:tcPr>
            <w:tcW w:w="43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sz w:val="28"/>
                <w:szCs w:val="28"/>
              </w:rPr>
            </w:pPr>
            <w:r>
              <w:rPr>
                <w:rFonts w:eastAsia="Arial"/>
                <w:kern w:val="0"/>
                <w:sz w:val="28"/>
                <w:szCs w:val="28"/>
                <w:lang w:val="en-US" w:eastAsia="ru-RU" w:bidi="ar-SA"/>
              </w:rPr>
              <w:t xml:space="preserve">GitHub flow, Personal Access Token, </w:t>
            </w:r>
            <w:r>
              <w:rPr>
                <w:rFonts w:eastAsia="Arial"/>
                <w:kern w:val="0"/>
                <w:sz w:val="28"/>
                <w:szCs w:val="28"/>
                <w:lang w:val="ru-RU" w:eastAsia="ru-RU" w:bidi="ar-SA"/>
              </w:rPr>
              <w:t>релизы</w:t>
            </w:r>
            <w:r>
              <w:rPr>
                <w:rFonts w:eastAsia="Arial"/>
                <w:kern w:val="0"/>
                <w:sz w:val="28"/>
                <w:szCs w:val="28"/>
                <w:lang w:val="en-US" w:eastAsia="ru-RU" w:bidi="ar-SA"/>
              </w:rPr>
              <w:t xml:space="preserve"> GitHub</w:t>
            </w:r>
          </w:p>
        </w:tc>
      </w:tr>
    </w:tbl>
    <w:p>
      <w:pPr>
        <w:pStyle w:val="Normal"/>
        <w:spacing w:beforeAutospacing="1" w:after="0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В первой главе учащиеся подготавливают сервер, на котором будет развёрнут проект. Для этого они должны подготовить хостинг, установить требуемые программы и утилиты и настроить веб-сервер Nginx (для статических файлов и CGI-скриптов) [9].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Во второй главе учащиеся загружают проект на сервер при помощи утилиты Rsync. Для этого они должны настроить секреты GitHub и добавить новую задачу, состоящую из нескольких шагов и выгружающую файлы проекта по rsync.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третьей главе учащиеся загружают файлы на сервер в автоматизированном режиме при помощи утилиты Deployer. Учащиеся должны поменять рабочее окружение приложения, настроить утилиту Deployer и обновить задачу, добавленную в предыдущей главе. После этого учащиеся вносят изменения в файлы проекта и наблюдают автоматизированный процесс доставки и развёртывания.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последней главе третьего раздела учащиеся автоматизируют и совершенствуют выпуск релизов приложения. Для этого они создают новый Personal Access Token, используемый при API-вызовах к GitHub, выносят процессы доставки и развёртывания в отдельный пайплайн.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третьем разделе порядок глав также не может быть изменён. Раздел завершается викториной, вопросы которой посвящены исключительно инструментам и понятия, связанным с непрерывной доставкой и развёртыванием.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После поэтапного выполнения практических заданий второго и третьего разделов у учащихся должна получиться типовая конфигурация GitHub Actions. Получившиеся пайплайны не являются «оторванными от реальности тестовым полигонами». При разработке настоящего веб-проекта, они могут быть использованы в качестве базовой платформы или справочного материала.</w:t>
      </w:r>
    </w:p>
    <w:p>
      <w:pPr>
        <w:pStyle w:val="Titre3"/>
        <w:spacing w:before="0" w:after="448"/>
        <w:rPr>
          <w:sz w:val="28"/>
          <w:szCs w:val="28"/>
        </w:rPr>
      </w:pPr>
      <w:bookmarkStart w:id="16" w:name="_Toc98420027"/>
      <w:r>
        <w:rPr>
          <w:color w:val="auto"/>
          <w:sz w:val="28"/>
          <w:szCs w:val="28"/>
        </w:rPr>
        <w:t>2.2.2 Выбор технологий</w:t>
      </w:r>
      <w:bookmarkEnd w:id="16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Поскольку разрабатываемый ресурс представляет собой цикл статей, применяемые технологии должны, в первую очередь, позволить набирать и редактировать текст и изображения.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Вывод содержимого статей на экран является второй важнейшей проблемой: оно содержит много примеров кода и изображений, которые должны быть корректно форматированы в любом окружении.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Также должна присутствовать возможность создавать и редактировать интерактивные викторины.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Среди ранее рассмотренных инструментов этим требованиям отвечают система управления курсами Moodle и некоторые CMS-базированные решения. Также можно разработать новое решение на базе HTML и JavaScript. Рациональность применения того или иного инструмента определяется существующими, уже задействованными при обучении, технологиями. Гораздо удобнее и быстрее будет ввести CMS-базированное решение, если система Moodle ещё не используется в организации. Так как ресурс разрабатывается не для конкретной учебной организации, а для пользования всеми желающими, будет задействовано CMS-базированное решение.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Среди всех систем управления содержимым предпочтение отдано 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 xml:space="preserve"> по нескольким причинам. Во-первых, 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 xml:space="preserve"> – это самая популярная CMS с открытым кодом, появившаяся сравнительно давно (в 2003 году). Популярность, открытый код и возраст продукта обеспечивают его надёжность и расширяемость [19]. Во-вторых,  </w:t>
      </w:r>
      <w:r>
        <w:rPr>
          <w:sz w:val="28"/>
          <w:szCs w:val="28"/>
          <w:lang w:val="en-US"/>
        </w:rPr>
        <w:t>WordPress распостраняется по лицензии GNU GLP 2+, а значит может быть использован в коммерческих проектах, без раскрытия кодовой базы самого проекта.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При разработке ЭОР были изучены и опробованы возможности нескольких популярных бесплатных плагинов, добавляющих функционал системы управления обучением в WordPress. Функционал всех опробованных плагинов мало различается. Руководствуясь субъективным мнением, автор отдал предпочтение плагину «LifterLMS». Определяющими факторами для автора стали такие параметры, как возможности текстового редактора, совместимость с популярными темами и возможность импорта и экспорта содержимого курса.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Для функционирования 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 xml:space="preserve"> необходим сервер, умеющий работать с CGI, например Apache или Nginx. Также для хранения данных проекта необходима база данных MySQL или совместимая с ней база данных MariaDB.</w:t>
      </w:r>
    </w:p>
    <w:p>
      <w:pPr>
        <w:pStyle w:val="Titre3"/>
        <w:spacing w:before="451" w:after="451"/>
        <w:rPr>
          <w:sz w:val="28"/>
          <w:szCs w:val="28"/>
        </w:rPr>
      </w:pPr>
      <w:bookmarkStart w:id="17" w:name="_Toc98420028"/>
      <w:r>
        <w:rPr>
          <w:color w:val="auto"/>
          <w:sz w:val="28"/>
          <w:szCs w:val="28"/>
        </w:rPr>
        <w:t>2.2.3 Структура программного проекта</w:t>
      </w:r>
      <w:bookmarkEnd w:id="17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Любой проект, построенный на базе 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 xml:space="preserve">, представляет собой набор PHP-скриптов. Поэтому установка 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 xml:space="preserve"> сводится к распаковке архива с исходным кодом проекта и запуску сервера, корневая директория которого указывает на распакованный дистрибутив. При этом необходимо учесть права доступа: у сервера должен быть доступ на чтение и запись ко всему содержимому распакованного архива.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Наполнение ресурса и модификация его содержимого не требуют вмешательства в исходный код проекта: файлы и их содержимое регулируются системой 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 xml:space="preserve">. Отсюда следует, что структура программного проекта представляет собой распакованное содержимое архива, базу данных и CGI-сервер. </w:t>
      </w:r>
    </w:p>
    <w:p>
      <w:pPr>
        <w:pStyle w:val="Titre2"/>
        <w:spacing w:before="451" w:after="451"/>
        <w:rPr>
          <w:sz w:val="28"/>
          <w:szCs w:val="28"/>
        </w:rPr>
      </w:pPr>
      <w:bookmarkStart w:id="18" w:name="_Toc98420029"/>
      <w:r>
        <w:rPr>
          <w:sz w:val="28"/>
          <w:szCs w:val="28"/>
        </w:rPr>
        <w:t>2.3 Создание ЭОР</w:t>
      </w:r>
      <w:bookmarkEnd w:id="18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Для реализации разработанного проекта электронного образовательного ресурса необходимо подготовить рабочее окружение и наполнить ресурс содержимым.</w:t>
      </w:r>
    </w:p>
    <w:p>
      <w:pPr>
        <w:pStyle w:val="Titre3"/>
        <w:spacing w:before="454" w:after="454"/>
        <w:rPr>
          <w:sz w:val="28"/>
          <w:szCs w:val="28"/>
        </w:rPr>
      </w:pPr>
      <w:bookmarkStart w:id="19" w:name="_Toc98420030"/>
      <w:r>
        <w:rPr>
          <w:color w:val="auto"/>
          <w:sz w:val="28"/>
          <w:szCs w:val="28"/>
        </w:rPr>
        <w:t>2.3.1 Подготовка рабочего окружения</w:t>
      </w:r>
      <w:bookmarkEnd w:id="19"/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 xml:space="preserve"> известен своей «лёгкой установкой за 5 минут». Многие веб-хостинги предлагают готовые инструменты для автоматической установки 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>, например, Fantastico. Поскольку разрабатываемый ресурс не полагается на сторонний хостинг и должен быть готов к развёртыванию в любом окружении, будет проведена ручная установка и настройка.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Перед установкой необходимо проверить сервер на соответствие минимальным системным требованиям.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Установка состоит из следующих этапов: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1. Скачать и распаковать дистрибутив 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>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2. Создать базу данных для 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>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3. Переименовать (переместить) файл «wp-config-sample.php» в файл «wp-config.php».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4. Открыв «wp-config.php» в текстовом редакторе, задать настройки подключения к базе данных.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5. Разместить файлы дистрибутива на сервере.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6. Перейти по пути wp-admin/install.php (например, http://example.com/wp-admin/install.php).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7. Следовать дальнейшим инструкциям.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После настройки дистрибутива необходимо установить плагин «LifterLMS». Для этого нужно воспользоваться магазином расширений: перейти по пути «wp-admin/plugin-install.php», найти плагин (с помощью меню поиска или вручную) и следовать дальнейшим инструкциям по установке.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По умолчанию блоки с примерами кода в 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 xml:space="preserve"> имеют скудное форматирование: в блоках сохраняются отступы, и к ним применяется моноширинный шрифт; при этом отсутствует подсветка синтаксиса, условное форматирование, индикации используемого языка и т.п. Значительно улучшить представление кода можно при помощи плагинов. Поэтому был установлен плагин «Prismatic», отвечающий за условное форматирование. В качестве библиотеки форматирования используется «prism.js». </w:t>
      </w:r>
    </w:p>
    <w:p>
      <w:pPr>
        <w:pStyle w:val="Titre3"/>
        <w:spacing w:before="394" w:after="394"/>
        <w:rPr>
          <w:sz w:val="28"/>
          <w:szCs w:val="28"/>
        </w:rPr>
      </w:pPr>
      <w:bookmarkStart w:id="20" w:name="_Toc98420031"/>
      <w:r>
        <w:rPr>
          <w:color w:val="auto"/>
          <w:sz w:val="28"/>
          <w:szCs w:val="28"/>
        </w:rPr>
        <w:t>2.3.2 Наполнение ресурса</w:t>
      </w:r>
      <w:bookmarkEnd w:id="20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После установки плагина «LifterLMS» выводится форма, предлагающая создать новый или импортировать уже существующий курс. Создать курс можно в любое другое время, воспользовавшись панелью администрирования и разделом «Courses».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Каждый курс должен иметь один или несколько тарифных планов. Управление планам осуществляется в настройках курсах, которые выводятся в самом низу экрана при редактировании (см. рисунок </w:t>
      </w:r>
      <w:r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>
      <w:pPr>
        <w:pStyle w:val="Normal"/>
        <w:spacing w:beforeAutospacing="1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>
        <w:drawing>
          <wp:anchor behindDoc="0" distT="0" distB="0" distL="114300" distR="0" simplePos="0" locked="0" layoutInCell="0" allowOverlap="1" relativeHeight="4">
            <wp:simplePos x="0" y="0"/>
            <wp:positionH relativeFrom="margin">
              <wp:align>center</wp:align>
            </wp:positionH>
            <wp:positionV relativeFrom="paragraph">
              <wp:posOffset>-3810</wp:posOffset>
            </wp:positionV>
            <wp:extent cx="4806950" cy="2603500"/>
            <wp:effectExtent l="0" t="0" r="0" b="0"/>
            <wp:wrapTopAndBottom/>
            <wp:docPr id="3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95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исунок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– Управление тарифными планами курса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Так как курс должен быть доступен всем, необходимо создать бесплатный план доступа, на который может записаться любой пользователь: выбрать значение «Anyone» в опции «Plan Availability» и выставить флаг «Is Free».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Создание разделов и глав осуществляется при помощи редактора курса (Builder). В соответствии с разработанным планом были созданы три раздела (см. рисунок </w:t>
      </w:r>
      <w:r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>
      <w:pPr>
        <w:pStyle w:val="Normal"/>
        <w:spacing w:beforeAutospacing="1" w:afterAutospacing="1"/>
        <w:jc w:val="center"/>
        <w:rPr>
          <w:sz w:val="28"/>
          <w:szCs w:val="28"/>
        </w:rPr>
      </w:pPr>
      <w:r>
        <w:drawing>
          <wp:anchor behindDoc="0" distT="0" distB="0" distL="114300" distR="0" simplePos="0" locked="0" layoutInCell="0" allowOverlap="1" relativeHeight="5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5852160" cy="3375660"/>
            <wp:effectExtent l="0" t="0" r="0" b="0"/>
            <wp:wrapTopAndBottom/>
            <wp:docPr id="4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– Разделы курса</w:t>
      </w:r>
    </w:p>
    <w:p>
      <w:pPr>
        <w:pStyle w:val="Normal"/>
        <w:rPr>
          <w:sz w:val="28"/>
          <w:szCs w:val="28"/>
        </w:rPr>
      </w:pPr>
      <w:r>
        <w:drawing>
          <wp:anchor behindDoc="0" distT="0" distB="0" distL="114300" distR="0" simplePos="0" locked="0" layoutInCell="0" allowOverlap="1" relativeHeight="6">
            <wp:simplePos x="0" y="0"/>
            <wp:positionH relativeFrom="margin">
              <wp:align>right</wp:align>
            </wp:positionH>
            <wp:positionV relativeFrom="paragraph">
              <wp:posOffset>612140</wp:posOffset>
            </wp:positionV>
            <wp:extent cx="5852160" cy="3759835"/>
            <wp:effectExtent l="0" t="0" r="0" b="0"/>
            <wp:wrapTopAndBottom/>
            <wp:docPr id="5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759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Также в соответствии с разработанным планом, в каждом разделе были созданы главы (см. рисунок </w:t>
      </w:r>
      <w:r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>
      <w:pPr>
        <w:pStyle w:val="Normal"/>
        <w:spacing w:beforeAutospacing="1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– Главы второго раздела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Каждую главу можно открыть в WYSIWYG-редакторе. Редактор позволяет удобно и быстро набирать текст, добавлять изображения, ссылки, видео и прочие материалы.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Во время написания статей автор руководствовался принципами, выработанными создателями серии книг и руководств </w:t>
      </w:r>
      <w:r>
        <w:rPr>
          <w:sz w:val="28"/>
          <w:szCs w:val="28"/>
          <w:lang w:val="en-US"/>
        </w:rPr>
        <w:t>Head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First</w:t>
      </w:r>
      <w:r>
        <w:rPr>
          <w:sz w:val="28"/>
          <w:szCs w:val="28"/>
        </w:rPr>
        <w:t>, а именно: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1. Разговорный стиль и персонификация. Исследования показывают [15], что студенты лучше усваивают материал и справляются с итоговыми тестами на 40% эффективнее, если учебные материалы, с которыми они работали, были написаны от первого лица с применением разговорного стиля вместо официального.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2. Попытка сделать так, чтобы читатель более глубоко вник в содержимое. Читатель должен быть мотивирован, заинтересован и вдохновлен, чтобы решать проблемы, делать выводы и усваивать новый материал. Для этого необходимо использовать упражнения и вопросы, вынуждающие студента задуматься и самостоятельно искать решение; при этом новые знания должны плавно вытекать из полученных ранее.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3. Завоевание и удержания внимания читателя. Изучение нового технического сложного материала проходит намного легче, если читатель заинтересован, и ему не скучно.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4. Эмоции. Способность к запоминанию чего-либо зависит от эмоциональной составляющей. Читатель запоминает то, что для него важно; он должен чувствовать удовлетворение от проделанной работы или решённой головоломки.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5. Закон Парето (принцип 80/20). Предлагаемый материал не должен быть единственным, он не должен покрывать все возможные темы и связанные проблемы.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В редакторе курса также можно добавлять и редактировать викторины (см. рисунок </w:t>
      </w:r>
      <w:r>
        <w:rPr>
          <w:sz w:val="28"/>
          <w:szCs w:val="28"/>
        </w:rPr>
        <w:t>5</w:t>
      </w:r>
      <w:r>
        <w:rPr>
          <w:sz w:val="28"/>
          <w:szCs w:val="28"/>
        </w:rPr>
        <w:t>).</w:t>
      </w:r>
    </w:p>
    <w:p>
      <w:pPr>
        <w:pStyle w:val="Normal"/>
        <w:spacing w:beforeAutospacing="1" w:afterAutospacing="1"/>
        <w:jc w:val="center"/>
        <w:rPr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7">
            <wp:simplePos x="0" y="0"/>
            <wp:positionH relativeFrom="column">
              <wp:posOffset>451485</wp:posOffset>
            </wp:positionH>
            <wp:positionV relativeFrom="paragraph">
              <wp:posOffset>1905</wp:posOffset>
            </wp:positionV>
            <wp:extent cx="5940425" cy="3816350"/>
            <wp:effectExtent l="0" t="0" r="0" b="0"/>
            <wp:wrapTopAndBottom/>
            <wp:docPr id="6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1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– Редактор викторин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соответствии с разработанным планом были созданы викторины.</w:t>
      </w:r>
    </w:p>
    <w:p>
      <w:pPr>
        <w:pStyle w:val="Titre3"/>
        <w:spacing w:before="451" w:after="451"/>
        <w:rPr>
          <w:sz w:val="28"/>
          <w:szCs w:val="28"/>
        </w:rPr>
      </w:pPr>
      <w:bookmarkStart w:id="21" w:name="_Toc98420032"/>
      <w:r>
        <w:rPr>
          <w:color w:val="auto"/>
          <w:sz w:val="28"/>
          <w:szCs w:val="28"/>
        </w:rPr>
        <w:t>2.3.3 Введение стимулирующих элементов</w:t>
      </w:r>
      <w:bookmarkEnd w:id="21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исследованиях [20] отмечается, что правильно интегрированные в процесс обучения игровые технологии положительно сказываются на его результатах. Это достигается за счёт нескольких факторов:</w:t>
      </w:r>
    </w:p>
    <w:p>
      <w:pPr>
        <w:pStyle w:val="Normal"/>
        <w:numPr>
          <w:ilvl w:val="0"/>
          <w:numId w:val="4"/>
        </w:numPr>
        <w:rPr/>
      </w:pPr>
      <w:r>
        <w:rPr>
          <w:sz w:val="28"/>
          <w:szCs w:val="28"/>
        </w:rPr>
        <w:t>Учащиеся подвигаются к критическому мышлению и всестороннему рассмотрению изучаемого предмета.</w:t>
      </w:r>
    </w:p>
    <w:p>
      <w:pPr>
        <w:pStyle w:val="Normal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Учащиеся выявляют ошибки и корректируют их, таким образом вырабатывая адекватные модели поведения в проблемных ситуациях.</w:t>
      </w:r>
    </w:p>
    <w:p>
      <w:pPr>
        <w:pStyle w:val="Normal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Учащиеся социализируются, пытаясь решить проблемы в группе.</w:t>
      </w:r>
    </w:p>
    <w:p>
      <w:pPr>
        <w:pStyle w:val="Normal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Учащиеся проецируют проблему в реальную жизненную ситуацию.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Внедрение игровых стимулирующих элементов в процесс обучения называется геймификацией. При этом структура ЭОР и используемые инструменты определяет возможные способы геймификации [12].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уже разработанную структуру курса можно привнести игровые элементы. Разделы и главы курса формируют единую сущность, при этом сложность материала последовательно возрастает. Неформальные игровые элементы, например, отслеживание прогресса, выступают в качестве награды и стимулируют учащихся к скрупулёзному освоению материала, находящему отражение в высоких показателях статистики.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Плагин «LifterLMS» предлагает элементы геймификации. Без установки дополнительных расширений доступна система бейджей, прогресса и сертификатов (см. рисунок </w:t>
      </w:r>
      <w:r>
        <w:rPr>
          <w:sz w:val="28"/>
          <w:szCs w:val="28"/>
        </w:rPr>
        <w:t>6</w:t>
      </w:r>
      <w:r>
        <w:rPr>
          <w:sz w:val="28"/>
          <w:szCs w:val="28"/>
        </w:rPr>
        <w:t>). При этом возможности геймификации и стимулирования можно расширить при помощи других плагинов, например, плагин «myCred – LifterLMS Integration» добавляет бальную систему и расширяет систему прогресса, а плагин «LifterLMS integration» от GamiPress расширяет возможности викторин.</w:t>
      </w:r>
    </w:p>
    <w:p>
      <w:pPr>
        <w:pStyle w:val="Normal"/>
        <w:spacing w:beforeAutospacing="1" w:afterAutospacing="1"/>
        <w:jc w:val="center"/>
        <w:rPr>
          <w:sz w:val="28"/>
          <w:szCs w:val="28"/>
        </w:rPr>
      </w:pPr>
      <w: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729355" cy="2800350"/>
            <wp:effectExtent l="0" t="0" r="0" b="0"/>
            <wp:wrapTopAndBottom/>
            <wp:docPr id="7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35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— Система отслеживания прогресса «LifterLMS»</w:t>
      </w:r>
    </w:p>
    <w:p>
      <w:pPr>
        <w:pStyle w:val="Titre2"/>
        <w:spacing w:before="451" w:after="451"/>
        <w:rPr>
          <w:sz w:val="28"/>
          <w:szCs w:val="28"/>
        </w:rPr>
      </w:pPr>
      <w:bookmarkStart w:id="22" w:name="_Toc98420033"/>
      <w:r>
        <w:rPr>
          <w:sz w:val="28"/>
          <w:szCs w:val="28"/>
        </w:rPr>
        <w:t>2.4 Контейнеризация ресурса</w:t>
      </w:r>
      <w:bookmarkEnd w:id="22"/>
    </w:p>
    <w:p>
      <w:pPr>
        <w:pStyle w:val="Normal"/>
        <w:spacing w:lineRule="auto" w:line="360"/>
        <w:rPr>
          <w:rFonts w:ascii="Times New Roman" w:hAnsi="Times New Roman"/>
          <w:color w:val="000000"/>
          <w:sz w:val="28"/>
          <w:szCs w:val="28"/>
          <w:highlight w:val="none"/>
          <w:shd w:fill="auto" w:val="clear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Контейнеризация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(виртуализация на уровне ОС) – технология, которая позволяет запускать программное обеспечение в изолированных на уровне операционной системы пространствах. Контейнеры являются наиболее распространённой формой виртуализации на уровне ОС. С помощью контейнеров можно запустить несколько приложений на одном сервере (хостовой машине), изолируя их друг от друга. </w:t>
      </w:r>
      <w:r>
        <w:rPr>
          <w:color w:val="000000"/>
          <w:sz w:val="28"/>
          <w:szCs w:val="28"/>
          <w:shd w:fill="auto" w:val="clear"/>
        </w:rPr>
        <w:t>Каждый контейнер может вмещать полноценное веб-приложение или службу.</w:t>
      </w:r>
    </w:p>
    <w:p>
      <w:pPr>
        <w:pStyle w:val="Normal"/>
        <w:spacing w:lineRule="auto" w:line="360"/>
        <w:rPr>
          <w:rFonts w:ascii="Times New Roman" w:hAnsi="Times New Roman"/>
          <w:color w:val="000000"/>
          <w:sz w:val="28"/>
          <w:szCs w:val="28"/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Изначально стояла задача разработать электронный образовательный ресурс, который при необходимости можно копировать и перенести в другой рабочее окружение. При этом развёртывание должно происходить в полностью автоматическом режиме. Следовательно, необходимо контейнеризировать разрабатываемый ресурс.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Для функционирования 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>-проекту необходим CGI-сервер и база данных, совместимая с MySQL (непосредственно MySQL или MariaDB).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Перенос кодовой базы проекта не вызывает трудностей: всё содержимое директории с проектом можно хранить в системе контроля версий; также 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>-проект можно установить и настроить автоматически при помощи инструмента «wp-cli». Но электронный образовательный ресурс – это, в первую очередь, данные. Всё текстовое содержимое статей и некоторые настройки проекта хранятся в базе данных; поэтому содержимое базы данных также должно быть доступно для переноса. В этом случае механизм дампов является единственным возможным способом перенести всё содержимое из одной базы данных в другую. Поэтому дамп базы данных также должен храниться в системе контроля версий.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Таким образом, разрабатываемому ресурсу для функционирования требуются два внешних инструмента: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1. CGI-сервер;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2. База данных, совместимая с MySQL.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При первом развёртывании также необходимо выполнить серию скриптов, загружающих дамп базы данных.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 сегодняшний день Docker является наиболее популярным инструментом для контейнеризации. Docker основан на системе виртуализации Linux (LXC) и, по сути, является более удобным интерфейсом к низкоуровнему сервису.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Всегда возможны два варианта контейнеризации: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1. Упаковка нескольких инструментов в один контейнер;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2. Оркестрация нескольких контейнеров, каждый из которых отвечает за одну составляющую системы.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Руководствуясь принципом единственной ответственности (каждая сущность должна иметь одну ответственность и эта ответственность должна быть полностью инкапсулирована в ней), можно утверждать, что предпочтение следует отдать второму варианту.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Конфигурация Docker Compose, описывающая контейнеры ЭОР, содержится в файле «docker-compose.yaml» (см. приложение №1). Переменные окружения, с которыми по умолчанию загружаются контейнеры, располагаются в файле «.env» (см. приложение №2).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качестве CGI-сервера используется веб-сервер Apache (контейнер «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>»).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качестве базы данных используется СУБД MySQL (контейнер «db»).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Дистрибутив </w:t>
      </w:r>
      <w:r>
        <w:rPr>
          <w:sz w:val="28"/>
          <w:szCs w:val="28"/>
          <w:lang w:val="en-US"/>
        </w:rPr>
        <w:t>WordPress</w:t>
      </w:r>
      <w:r>
        <w:rPr>
          <w:sz w:val="28"/>
          <w:szCs w:val="28"/>
        </w:rPr>
        <w:t>, и в том числе, загруженные файлы, загружаются из директории «app». Дамп базы данных автоматически загружается при первом запуске контейнеров. Содержимое базы данных контролируется Docker и хранится в Docker-томе «db_data». Для развёртывания копии ресурса достаточно воспользоваться командой «docker-compose up». При этом необходимо обратить особое внимание на загруженные в контейнеры данные: сменить пароль и доменное имя.</w:t>
      </w:r>
      <w:r>
        <w:br w:type="page"/>
      </w:r>
    </w:p>
    <w:p>
      <w:pPr>
        <w:pStyle w:val="Titre1"/>
        <w:spacing w:before="0" w:after="454"/>
        <w:rPr>
          <w:sz w:val="28"/>
          <w:szCs w:val="28"/>
        </w:rPr>
      </w:pPr>
      <w:bookmarkStart w:id="23" w:name="_Toc98420034"/>
      <w:r>
        <w:rPr>
          <w:sz w:val="28"/>
          <w:szCs w:val="28"/>
        </w:rPr>
        <w:t>ЗАКЛЮЧЕНИЕ</w:t>
      </w:r>
      <w:bookmarkEnd w:id="23"/>
    </w:p>
    <w:p>
      <w:pPr>
        <w:pStyle w:val="Normal"/>
        <w:rPr/>
      </w:pPr>
      <w:r>
        <w:rPr>
          <w:sz w:val="28"/>
          <w:szCs w:val="28"/>
        </w:rPr>
        <w:t>В данной работе было проведено исследование возможностей применения компьютерных и цифровых технологий в обучении, в частности, - возможность разработки электронного образовательного ресурса практической направленности, предназначенного для изучения практик CI/CD в среде GitHub.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Цель данной работы заключалась в разработке электронного образовательного ресурса «Использование GitHub как системы для непрерывной интеграции и развёртывания современного веб-проекта», готового к быстрому развёртыванию в виде Docker-приложения.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было сделано следующее:</w:t>
      </w:r>
    </w:p>
    <w:p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Изучена сущность понятия «электронный образовательный ресурс», классификация электронных образовательных ресурсов и особенности их разработки.</w:t>
      </w:r>
    </w:p>
    <w:p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Проведён анализ существующих инструментов, предназначенных для разработки электронных образовательных ресурсов.</w:t>
      </w:r>
    </w:p>
    <w:p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Адаптированы требования к электронному образовательному ресурсу с учётом особенностей методологий CI/CD. В частности, был разработан план курса практической направленности: курс предполагает поэтапное освоение инструментов, используемых в типовых CI/CD пайплайнах, на примере современного веб-проекта.</w:t>
      </w:r>
    </w:p>
    <w:p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Спроектирован электронный образовательный ресурс «Использование GitHub как системы для непрерывной интеграции и развёртывания современного веб-проекта». Для этого с учётом адаптированных требований были выбраны и настроены инструменты, предназначенные для разработки ЭОР: CMS «WordPress», дополненная плагинами «LifterLMS» и «Prismatic».</w:t>
      </w:r>
    </w:p>
    <w:p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 соответствии с планом создан электронный образовательный ресурс «Использование GitHub как системы для непрерывной интеграции и развёртывания современного веб-проекта». Содержимое ресурса было создано при помощи CMS и плагинов. Данные хранятся в базе данных «MySQL». Приложение было упаковано в Docker-контейнер. Проект версионируется при помощи Git и хранится в онлайн репозитории: https://git.herzen.spb.ru/180027/ppp.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Таким образом, все поставленные задачи были реализованы.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Выдвинутая гипотеза (возможно разработать электронный образовательный ресурс практической направленности «Использование GitHub как системы для непрерывной интеграции и развёртывания современного веб-проекта») подтвердилась.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Разработанный ресурс может быть использован учащимися для освоения практик CI/CD или применён при разработке других учебных материалов, следовательно, цель выпускной квалификационной работы была достигнута.</w:t>
      </w:r>
      <w:r>
        <w:br w:type="page"/>
      </w:r>
    </w:p>
    <w:p>
      <w:pPr>
        <w:pStyle w:val="Titre1"/>
        <w:spacing w:before="0" w:after="454"/>
        <w:rPr>
          <w:sz w:val="28"/>
          <w:szCs w:val="28"/>
        </w:rPr>
      </w:pPr>
      <w:bookmarkStart w:id="24" w:name="_Toc98420035"/>
      <w:r>
        <w:rPr>
          <w:sz w:val="28"/>
          <w:szCs w:val="28"/>
        </w:rPr>
        <w:t>СПИСОК ЛИТЕРАТУРЫ</w:t>
      </w:r>
      <w:bookmarkEnd w:id="24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1. Азевич Алексей Иванович WordPress как обучающая интерактивная платформа // Вестник РУДН. Серия: Информатизация образования. 2013. №3. URL: https://cyberleninka.ru/article/n/wordpress-kak-obuchayuschaya-interaktivnaya-platforma (дата обращения: 16.03.2022).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2. Арланов И. В. Основные методы и компоненты систем непрерывной интеграции в ИТ-проектах // Новое слово в науке и практике: гипотезы и апробация результатов исследований. 2013. №8. URL: https://cyberleninka.ru/article/n/osnovnye-metody-i-komponenty-sistem-nepreryvnoy-integratsii-v-it-proektah (дата обращения: 16.03.2022).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3. Бодрова Екатерина Григорьевна, Дегтеренко Людмила Николаевна Цифровые инструменты и сервисы в профессиональной деятельности современного педагога // Современная высшая школа: инновационный аспект. 2021. №2 (52). URL: https://cyberleninka.ru/article/n/tsifrovye-instrumenty-i-servisy-v-professionalnoy-deyatelnosti-sovremennogo-pedagoga (дата обращения: 20.03.2022).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4. ГОСТ Р 52653-2006. Информационно-коммуникационные технологии в образовании. Термины и определения. – Введ. с 01.07.2008. – с. 1 — 4.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5. ГОСТ Р 53620-2009. Информационно-коммуникационные технологии в образовании. Электронные образовательные ресурсы. – Введ. с 01.01.2011. – с. 2 — 4.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6. Джун Ким, Джонг Хан Ким, Бер К., Спаффорд Д. Проект «Феникс». Роман о том, как DevOps меняет бизнес к лучшему. - М.: Бомбора, 2022. - 384 с.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7. Единые требования к электронным образовательным ресурсам. – М., 2011.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8. Козюкова Т.П., Кийкова Е.В. Выбор инструментария для разработки электронных образовательных ресурсов // Современные научные исследования и инновации. 2015. № 7. Ч. 2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9. Котеров, Д. В. PHP 7 / Д. В. Котеров, И. В. Симдянов. — СПб.: БХВ-Петербург, 2016. — 1088 с.: ил. — (В подлиннике)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10. Норенков И. П. Электронные образовательные ресурсы // Машиностроение и компьютерные технологии. 2009. №12. URL: https://cyberleninka.ru/article/n/elektronnye-obrazovatelnye-resursy (дата обращения: 16.03.2022).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11. Ракчеев Алексей Юрьевич Работа протокола ssh на практике // Научный журнал. 2020. №3 (48). URL: https://cyberleninka.ru/article/n/rabota-protokola-ssh-na-praktike (дата обращения: 16.03.2022).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12. Стародубцев В. А. Элементы геймификации в </w:t>
      </w:r>
      <w:r>
        <w:rPr>
          <w:sz w:val="28"/>
          <w:szCs w:val="28"/>
          <w:lang w:val="en-US"/>
        </w:rPr>
        <w:t>LMS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Moodle</w:t>
      </w:r>
      <w:r>
        <w:rPr>
          <w:sz w:val="28"/>
          <w:szCs w:val="28"/>
        </w:rPr>
        <w:t xml:space="preserve"> / В. А. Стародубцев, И. В. Ряшенцев // Международный научно-исследовательский журнал. — 2017. — № 07 (61) Часть 1. — С. 98—102.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13. Федеральная целевая программа «Научные и научно-педагогические кадры инновационной России» на 2009-2013 годы // Портал Министерства образования и науки РФ. - Режим доступа: http://www.fasi.gov.ru/fcp/npki/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14. Федеральный государственный образовательный стандарт Высшего образования – Бакалавриат по направлению подготовки 09.03.01 Информатика и вычислительная техника от 19 сентября 2017 г. // Национальная ассоциация развития образования и науки. - Режим доступа: https://fgos.ru/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15. Фримен Э., Робсон Э., Сьерра К., Бейтс Б. Head First. Паттерны проектирования. Обновленное юбилейное издание. — СПб.: Питер, 2018. — 656 с.: ил. — (Серия «Head First O’Reilly»).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16. Хориков Владимир. Принципы юнит-тестирования. — СПб.: Питер, 2021 — 320 с.: ил. — (Серия «Для профессионалов»).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17. Электронные учебники: рекомендации по разработке. – М.: Федеральный институт развития образования, 2012. – 24 с.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lang w:val="en-US"/>
        </w:rPr>
        <w:t>18. Dias, S.B. and Diniz, J.A. and Hadjileontiadis, L.J. Towards an Intelligent Learning Management System Under Blended Learning: Trends, Profiles and Modeling Perspectives. — Springer International Publishing, 2013. — 235 p.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lang w:val="en-US"/>
        </w:rPr>
        <w:t>19. Kats, Y. Learning Management Systems and Instructional Design: Best Practices in Online Education. — IGI Global, 2013.</w:t>
      </w:r>
    </w:p>
    <w:p>
      <w:pPr>
        <w:sectPr>
          <w:headerReference w:type="default" r:id="rId9"/>
          <w:type w:val="nextPage"/>
          <w:pgSz w:w="11906" w:h="16838"/>
          <w:pgMar w:left="1418" w:right="567" w:gutter="0" w:header="720" w:top="1134" w:footer="0" w:bottom="1134"/>
          <w:pgNumType w:start="1" w:fmt="decimal"/>
          <w:formProt w:val="false"/>
          <w:titlePg/>
          <w:textDirection w:val="lrTb"/>
          <w:docGrid w:type="default" w:linePitch="299" w:charSpace="4096"/>
        </w:sectPr>
        <w:pStyle w:val="Normal"/>
        <w:rPr>
          <w:sz w:val="28"/>
          <w:szCs w:val="28"/>
        </w:rPr>
      </w:pPr>
      <w:r>
        <w:rPr>
          <w:sz w:val="28"/>
          <w:szCs w:val="28"/>
        </w:rPr>
        <w:t>20. Werbach K. Геймификация, [Электронный ресурс] / Werbach K. // Coursera. – 2017. – URL: https://ru.coursera.org/learn/gamification (дата обращения: 25.08.2016).</w:t>
      </w:r>
    </w:p>
    <w:p>
      <w:pPr>
        <w:sectPr>
          <w:headerReference w:type="default" r:id="rId10"/>
          <w:type w:val="nextPage"/>
          <w:pgSz w:w="11906" w:h="16838"/>
          <w:pgMar w:left="1418" w:right="567" w:gutter="0" w:header="0" w:top="1134" w:footer="0" w:bottom="1134"/>
          <w:pgNumType w:start="1" w:fmt="decimal"/>
          <w:formProt w:val="false"/>
          <w:textDirection w:val="lrTb"/>
          <w:docGrid w:type="default" w:linePitch="299" w:charSpace="4096"/>
        </w:sectPr>
        <w:pStyle w:val="Titre1"/>
        <w:spacing w:before="7200" w:after="120"/>
        <w:ind w:hanging="0"/>
        <w:jc w:val="center"/>
        <w:rPr>
          <w:sz w:val="28"/>
          <w:szCs w:val="28"/>
        </w:rPr>
      </w:pPr>
      <w:bookmarkStart w:id="25" w:name="_Toc98420036"/>
      <w:r>
        <w:rPr>
          <w:sz w:val="28"/>
          <w:szCs w:val="28"/>
        </w:rPr>
        <w:t>П</w:t>
      </w:r>
      <w:bookmarkEnd w:id="25"/>
      <w:r>
        <w:rPr>
          <w:sz w:val="28"/>
          <w:szCs w:val="28"/>
        </w:rPr>
        <w:t>РИЛОЖЕНИЯ</w:t>
      </w:r>
    </w:p>
    <w:p>
      <w:pPr>
        <w:pStyle w:val="Normal"/>
        <w:rPr/>
      </w:pPr>
      <w:r>
        <w:rPr/>
        <w:t>Приложение 1</w:t>
      </w:r>
    </w:p>
    <w:p>
      <w:pPr>
        <w:pStyle w:val="Normal"/>
        <w:rPr>
          <w:lang w:val="en-US"/>
        </w:rPr>
      </w:pPr>
      <w:r>
        <w:rPr/>
        <w:t>Файл</w:t>
      </w:r>
      <w:r>
        <w:rPr>
          <w:lang w:val="en-US"/>
        </w:rPr>
        <w:t xml:space="preserve"> </w:t>
      </w:r>
      <w:r>
        <w:rPr/>
        <w:t>конфигурации</w:t>
      </w:r>
      <w:r>
        <w:rPr>
          <w:lang w:val="en-US"/>
        </w:rPr>
        <w:t xml:space="preserve"> Docker Compose – docker-compose.yaml</w:t>
      </w:r>
    </w:p>
    <w:p>
      <w:pPr>
        <w:sectPr>
          <w:headerReference w:type="default" r:id="rId12"/>
          <w:type w:val="nextPage"/>
          <w:pgSz w:w="11906" w:h="16838"/>
          <w:pgMar w:left="1418" w:right="567" w:gutter="0" w:header="0" w:top="1134" w:footer="0" w:bottom="1134"/>
          <w:pgNumType w:start="1" w:fmt="decimal"/>
          <w:formProt w:val="false"/>
          <w:textDirection w:val="lrTb"/>
          <w:docGrid w:type="default" w:linePitch="299" w:charSpace="4096"/>
        </w:sectPr>
        <w:pStyle w:val="Normal"/>
        <w:rPr/>
      </w:pPr>
      <w:r>
        <w:rPr/>
        <w:drawing>
          <wp:inline distT="0" distB="0" distL="0" distR="0">
            <wp:extent cx="5297170" cy="6340475"/>
            <wp:effectExtent l="0" t="0" r="0" b="0"/>
            <wp:docPr id="8" name="Рисунок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6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170" cy="634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lang w:val="en-US"/>
        </w:rPr>
      </w:pPr>
      <w:r>
        <w:rPr/>
        <w:t>Приложение 2</w:t>
      </w:r>
    </w:p>
    <w:p>
      <w:pPr>
        <w:pStyle w:val="Normal"/>
        <w:rPr>
          <w:lang w:val="en-US"/>
        </w:rPr>
      </w:pPr>
      <w:r>
        <w:rPr/>
        <w:t>Файл конфигурации переменных окружения - .</w:t>
      </w:r>
      <w:r>
        <w:rPr>
          <w:lang w:val="en-US"/>
        </w:rPr>
        <w:t>env</w:t>
      </w:r>
    </w:p>
    <w:p>
      <w:pPr>
        <w:pStyle w:val="Normal"/>
        <w:rPr>
          <w:lang w:val="en-US"/>
        </w:rPr>
      </w:pPr>
      <w:r>
        <w:rPr/>
        <w:drawing>
          <wp:inline distT="0" distB="0" distL="0" distR="0">
            <wp:extent cx="4379595" cy="3476625"/>
            <wp:effectExtent l="0" t="0" r="0" b="0"/>
            <wp:docPr id="9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59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lang w:val="en-US"/>
        </w:rPr>
      </w:pPr>
      <w:r>
        <w:rPr/>
      </w:r>
    </w:p>
    <w:sectPr>
      <w:headerReference w:type="default" r:id="rId14"/>
      <w:type w:val="nextPage"/>
      <w:pgSz w:w="11906" w:h="16838"/>
      <w:pgMar w:left="1418" w:right="567" w:gutter="0" w:header="720" w:top="1134" w:footer="0" w:bottom="1134"/>
      <w:pgNumType w:start="1"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Calibri">
    <w:charset w:val="01"/>
    <w:family w:val="swiss"/>
    <w:pitch w:val="default"/>
  </w:font>
  <w:font w:name="Lazursky">
    <w:charset w:val="01"/>
    <w:family w:val="swiss"/>
    <w:pitch w:val="default"/>
  </w:font>
  <w:font w:name="Cambria">
    <w:charset w:val="01"/>
    <w:family w:val="swiss"/>
    <w:pitch w:val="default"/>
  </w:font>
  <w:font w:name="Times New Roman">
    <w:charset w:val="01"/>
    <w:family w:val="roman"/>
    <w:pitch w:val="variable"/>
  </w:font>
  <w:font w:name="Times New Roman">
    <w:charset w:val="01"/>
    <w:family w:val="auto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28038606"/>
    </w:sdtPr>
    <w:sdtContent>
      <w:p>
        <w:pPr>
          <w:pStyle w:val="Entte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38</w:t>
        </w:r>
        <w:r>
          <w:rPr/>
          <w:fldChar w:fldCharType="end"/>
        </w:r>
      </w:p>
      <w:p>
        <w:pPr>
          <w:pStyle w:val="Normal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361931094"/>
    </w:sdtPr>
    <w:sdtContent>
      <w:p>
        <w:pPr>
          <w:pStyle w:val="Entte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Normal"/>
          <w:rPr/>
        </w:pPr>
        <w:r>
          <w:rPr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110b8"/>
    <w:pPr>
      <w:widowControl/>
      <w:suppressAutoHyphens w:val="true"/>
      <w:bidi w:val="0"/>
      <w:spacing w:lineRule="auto" w:line="360" w:before="0" w:after="0"/>
      <w:ind w:firstLine="709"/>
      <w:jc w:val="both"/>
    </w:pPr>
    <w:rPr>
      <w:rFonts w:ascii="Times New Roman" w:hAnsi="Times New Roman" w:eastAsia="Arial" w:cs="Times New Roman"/>
      <w:color w:val="auto"/>
      <w:kern w:val="0"/>
      <w:sz w:val="28"/>
      <w:szCs w:val="28"/>
      <w:lang w:val="ru-RU" w:eastAsia="ru-RU" w:bidi="ar-SA"/>
    </w:rPr>
  </w:style>
  <w:style w:type="paragraph" w:styleId="Titre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unhideWhenUsed/>
    <w:qFormat/>
    <w:pPr>
      <w:keepNext w:val="true"/>
      <w:keepLines/>
      <w:spacing w:before="320" w:after="80"/>
      <w:outlineLvl w:val="2"/>
    </w:pPr>
    <w:rPr>
      <w:color w:val="434343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enInternet">
    <w:name w:val="Lien Internet"/>
    <w:basedOn w:val="DefaultParagraphFont"/>
    <w:uiPriority w:val="99"/>
    <w:unhideWhenUsed/>
    <w:rsid w:val="00f2334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d1196a"/>
    <w:rPr>
      <w:color w:val="605E5C"/>
      <w:shd w:fill="E1DFDD" w:val="clea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c6cc5"/>
    <w:rPr>
      <w:sz w:val="16"/>
      <w:szCs w:val="16"/>
    </w:rPr>
  </w:style>
  <w:style w:type="character" w:styleId="Style8" w:customStyle="1">
    <w:name w:val="Текст примечания Знак"/>
    <w:basedOn w:val="DefaultParagraphFont"/>
    <w:uiPriority w:val="99"/>
    <w:semiHidden/>
    <w:qFormat/>
    <w:rsid w:val="00cc6cc5"/>
    <w:rPr>
      <w:sz w:val="20"/>
      <w:szCs w:val="20"/>
    </w:rPr>
  </w:style>
  <w:style w:type="character" w:styleId="Style9" w:customStyle="1">
    <w:name w:val="Тема примечания Знак"/>
    <w:basedOn w:val="Style8"/>
    <w:uiPriority w:val="99"/>
    <w:semiHidden/>
    <w:qFormat/>
    <w:rsid w:val="00cc6cc5"/>
    <w:rPr>
      <w:b/>
      <w:bCs/>
      <w:sz w:val="20"/>
      <w:szCs w:val="20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054654"/>
    <w:rPr/>
  </w:style>
  <w:style w:type="character" w:styleId="Style11" w:customStyle="1">
    <w:name w:val="Нижний колонтитул Знак"/>
    <w:basedOn w:val="DefaultParagraphFont"/>
    <w:uiPriority w:val="99"/>
    <w:qFormat/>
    <w:rsid w:val="00054654"/>
    <w:rPr/>
  </w:style>
  <w:style w:type="character" w:styleId="Puces" w:customStyle="1">
    <w:name w:val="Puces"/>
    <w:qFormat/>
    <w:rPr>
      <w:rFonts w:ascii="OpenSymbol" w:hAnsi="OpenSymbol" w:eastAsia="OpenSymbol" w:cs="OpenSymbol"/>
    </w:rPr>
  </w:style>
  <w:style w:type="character" w:styleId="Caractresdenumrotation" w:customStyle="1">
    <w:name w:val="Caractères de numérotation"/>
    <w:qFormat/>
    <w:rPr/>
  </w:style>
  <w:style w:type="character" w:styleId="Accentuationforte" w:customStyle="1">
    <w:name w:val="Accentuation forte"/>
    <w:qFormat/>
    <w:rPr>
      <w:b/>
      <w:bCs/>
    </w:rPr>
  </w:style>
  <w:style w:type="character" w:styleId="Sautdindex">
    <w:name w:val="Saut d'index"/>
    <w:qFormat/>
    <w:rPr/>
  </w:style>
  <w:style w:type="paragraph" w:styleId="Titre" w:customStyle="1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Source Han Sans CN" w:cs="Droid Sans Devanagari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Droid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Arial" w:hAnsi="Arial" w:cs="Droid Sans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Titreprincipal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oustitr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d312e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uiPriority w:val="99"/>
    <w:semiHidden/>
    <w:unhideWhenUsed/>
    <w:qFormat/>
    <w:rsid w:val="00cc6cc5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uiPriority w:val="99"/>
    <w:semiHidden/>
    <w:unhideWhenUsed/>
    <w:qFormat/>
    <w:rsid w:val="00cc6cc5"/>
    <w:pPr/>
    <w:rPr>
      <w:b/>
      <w:bCs/>
    </w:rPr>
  </w:style>
  <w:style w:type="paragraph" w:styleId="Entteetpieddepage" w:customStyle="1">
    <w:name w:val="En-tête et pied de page"/>
    <w:basedOn w:val="Normal"/>
    <w:qFormat/>
    <w:pPr/>
    <w:rPr/>
  </w:style>
  <w:style w:type="paragraph" w:styleId="Entte">
    <w:name w:val="Header"/>
    <w:basedOn w:val="Normal"/>
    <w:uiPriority w:val="99"/>
    <w:unhideWhenUsed/>
    <w:rsid w:val="00054654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/>
  </w:style>
  <w:style w:type="paragraph" w:styleId="Pieddepage">
    <w:name w:val="Footer"/>
    <w:basedOn w:val="Normal"/>
    <w:uiPriority w:val="99"/>
    <w:unhideWhenUsed/>
    <w:rsid w:val="00054654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/>
  </w:style>
  <w:style w:type="paragraph" w:styleId="Classique" w:customStyle="1">
    <w:name w:val="Classique"/>
    <w:basedOn w:val="Normal"/>
    <w:qFormat/>
    <w:pPr/>
    <w:rPr>
      <w:rFonts w:ascii="Liberation Serif" w:hAnsi="Liberation Serif"/>
      <w:color w:val="030202"/>
    </w:rPr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1"/>
    <w:next w:val="Normal"/>
    <w:uiPriority w:val="39"/>
    <w:unhideWhenUsed/>
    <w:qFormat/>
    <w:rsid w:val="00640e34"/>
    <w:pPr>
      <w:suppressAutoHyphens w:val="false"/>
      <w:spacing w:lineRule="auto" w:line="259" w:before="240" w:after="0"/>
      <w:ind w:hanging="0"/>
      <w:jc w:val="left"/>
      <w:outlineLvl w:val="9"/>
    </w:pPr>
    <w:rPr>
      <w:rFonts w:ascii="Calibri" w:hAnsi="Calibri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Tabledesmatiresniveau1">
    <w:name w:val="TOC 1"/>
    <w:basedOn w:val="Normal"/>
    <w:next w:val="Normal"/>
    <w:autoRedefine/>
    <w:uiPriority w:val="39"/>
    <w:unhideWhenUsed/>
    <w:rsid w:val="00640e34"/>
    <w:pPr>
      <w:spacing w:before="0" w:after="100"/>
    </w:pPr>
    <w:rPr/>
  </w:style>
  <w:style w:type="paragraph" w:styleId="Tabledesmatiresniveau2">
    <w:name w:val="TOC 2"/>
    <w:basedOn w:val="Normal"/>
    <w:next w:val="Normal"/>
    <w:autoRedefine/>
    <w:uiPriority w:val="39"/>
    <w:unhideWhenUsed/>
    <w:rsid w:val="00640e34"/>
    <w:pPr>
      <w:spacing w:before="0" w:after="100"/>
      <w:ind w:left="280" w:firstLine="709"/>
    </w:pPr>
    <w:rPr/>
  </w:style>
  <w:style w:type="paragraph" w:styleId="Tabledesmatiresniveau3">
    <w:name w:val="TOC 3"/>
    <w:basedOn w:val="Normal"/>
    <w:next w:val="Normal"/>
    <w:autoRedefine/>
    <w:uiPriority w:val="39"/>
    <w:unhideWhenUsed/>
    <w:rsid w:val="00640e34"/>
    <w:pPr>
      <w:spacing w:before="0" w:after="100"/>
      <w:ind w:left="560" w:firstLine="709"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3">
    <w:name w:val="Table Grid"/>
    <w:basedOn w:val="a1"/>
    <w:uiPriority w:val="39"/>
    <w:rsid w:val="007726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image" Target="media/image8.png"/><Relationship Id="rId12" Type="http://schemas.openxmlformats.org/officeDocument/2006/relationships/header" Target="header3.xml"/><Relationship Id="rId13" Type="http://schemas.openxmlformats.org/officeDocument/2006/relationships/image" Target="media/image9.png"/><Relationship Id="rId14" Type="http://schemas.openxmlformats.org/officeDocument/2006/relationships/header" Target="header4.xm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<Relationship Id="rId1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3BC29-F57A-4257-AC74-BF7CECC18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2705</TotalTime>
  <Application>LibreOffice/7.3.2.2$Linux_X86_64 LibreOffice_project/30$Build-2</Application>
  <AppVersion>15.0000</AppVersion>
  <Pages>43</Pages>
  <Words>6107</Words>
  <Characters>44259</Characters>
  <CharactersWithSpaces>50054</CharactersWithSpaces>
  <Paragraphs>348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2022-03-11T17:37:00Z</dcterms:created>
  <dc:creator/>
  <dc:description/>
  <dc:language>fr-FR</dc:language>
  <cp:lastModifiedBy>Cyrille Kossyguine</cp:lastModifiedBy>
  <cp:lastPrinted>2022-03-18T10:25:00Z</cp:lastPrinted>
  <dcterms:modified xsi:type="dcterms:W3CDTF">2022-05-25T19:26:50Z</dcterms:modified>
  <cp:revision>1020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