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bookmarkStart w:id="0" w:name="_fdd0vjp3do5c"/>
      <w:bookmarkEnd w:id="0"/>
      <w:r>
        <w:rPr>
          <w:rFonts w:eastAsia="Times New Roman" w:cs="Times New Roman" w:ascii="Times New Roman" w:hAnsi="Times New Roman"/>
          <w:b/>
          <w:sz w:val="28"/>
          <w:szCs w:val="28"/>
        </w:rPr>
        <w:t>СПИСОК ЛИТЕРАТУРЫ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 Азевич Алексей Иванович WordPress как обучающая интерактивная платформа // Вестник РУДН. Серия: Информатизация образования. 2013. №3. URL: https://cyberleninka.ru/article/n/wordpress-kak-obuchayuschaya-interaktivnaya-platforma (дата обращения: 16.03.2022).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 Арланов И. В. Основные методы и компоненты систем непрерывной интеграции в ИТ-проектах // Новое слово в науке и практике: гипотезы и апробация результатов исследований. 2013. №8. URL: https://cyberleninka.ru/article/n/osnovnye-metody-i-komponenty-sistem-nepreryvnoy-integratsii-v-it-proektah (дата обращения: 16.03.2022).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3. Бодрова Екатерина Григорьевна, Дегтеренко Людмила Николаевна Цифровые инструменты и сервисы в профессиональной деятельности современного педагога // Современная высшая школа: инновационный аспект. 2021. №2 (52). URL: https://cyberleninka.ru/article/n/tsifrovye-instrumenty-i-servisy-v-professionalnoy-deyatelnosti-sovremennogo-pedagoga (дата обращения: 20.03.2022).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ГОСТ Р 52653-2006. Информационно-коммуникационные технологии в образовании. Термины и определения. – Введ. с 01.07.2008. – с. 1 — 4.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 ГОСТ Р 53620-2009. Информационно-коммуникационные технологии в образовании. Электронные образовательные ресурсы. – Введ. с 01.01.2011. – с. 2 — 4.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 Джун Ким, Джонг Хан Ким, Бер К., Спаффорд Д. Проект «Феникс». Роман о том, как DevOps меняет бизнес к лучшему. - М.: Бомбора, 2022. - 384 с.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7. Единые требования к электронным образовательным ресурсам. – М., 2011.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8. Козюкова Т.П., Кийкова Е.В. Выбор инструментария для разработки электронных образовательных ресурсов // Современные научные исследования и инновации. 2015. № 7. Ч. 2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9. Котеров, Д. В. PHP 7 / Д. В. Котеров, И. В. Симдянов. — СПб.: БХВ-Петербург, 2016. — 1088 с.: ил. — (В подлиннике)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10. Норенков И. П. Электронные образовательные ресурсы // Машиностроение и компьютерные технологии. 2009. №12. URL: https://cyberleninka.ru/article/n/elektronnye-obrazovatelnye-resursy (дата обращения: 16.03.2022).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11. Ракчеев Алексей Юрьевич Работа протокола ssh на практике // Научный журнал. 2020. №3 (48). URL: https://cyberleninka.ru/article/n/rabota-protokola-ssh-na-praktike (дата обращения: 16.03.2022).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12. Стародубцев В. А. Элементы геймификации в LMS Moodle / В. А. Стародубцев, И. В. Ряшенцев // Международный научно-исследовательский журнал. — 2017. — № 07 (61) Часть 1. — С. 98—102.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13. Федеральная целевая программа «Научные и научно-педагогические кадры инновационной России» на 2009-2013 годы // Портал Министерства образования и науки РФ. - Режим доступа: http://www.fasi.gov.ru/fcp/npki/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14. Федеральный государственный образовательный стандарт Высшего образования – Бакалавриат по направлению подготовки 09.03.01 Информатика и вычислительная техника от 19 сентября 2017 г. // Национальная ассоциация развития образования и науки. - Режим доступа: https://fgos.ru/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15. Фримен Э., Робсон Э., Сьерра К., Бейтс Б. Head First. Паттерны проектирования. Обновленное юбилейное издание. — СПб.: Питер, 2018. — 656 с.: ил. — (Серия «Head First O’Reilly»).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16. Хориков Владимир. Принципы юнит-тестирования. — СПб.: Питер, 2021 — 320 с.: ил. — (Серия «Для профессионалов»).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17. Электронные учебники: рекомендации по разработке. – М.: Федеральный институт развития образования, 2012. – 24 с.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18. Dias, S.B. and Diniz, J.A. and Hadjileontiadis, L.J. Towards an Intelligent Learning Management System Under Blended Learning: Trends, Profiles and Modeling Perspectives. — Springer International Publishing, 2013. — 235 p.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19. Kats, Y. Learning Management Systems and Instructional Design: Best Practices in Online Education. — IGI Global, 2013.</w:t>
      </w:r>
    </w:p>
    <w:p>
      <w:pPr>
        <w:pStyle w:val="Normal1"/>
        <w:keepNext w:val="false"/>
        <w:keepLines w:val="false"/>
        <w:pageBreakBefore w:val="false"/>
        <w:widowControl/>
        <w:bidi w:val="0"/>
        <w:spacing w:lineRule="auto" w:line="36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20. Werbach K. Геймификация, [Электронный ресурс] / Werbach K. // Coursera. – 2017. – URL: https://ru.coursera.org/learn/gamification (дата обращения: 25.08.2016).</w:t>
      </w:r>
    </w:p>
    <w:p>
      <w:pPr>
        <w:pStyle w:val="Normal1"/>
        <w:widowControl/>
        <w:bidi w:val="0"/>
        <w:spacing w:lineRule="auto" w:line="360" w:before="0" w:after="0"/>
        <w:ind w:left="0" w:right="0" w:firstLine="709"/>
        <w:jc w:val="both"/>
        <w:rPr>
          <w:rFonts w:eastAsia="Times New Roman" w:cs="Times New Roman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ru-RU" w:eastAsia="zh-CN" w:bidi="hi-IN"/>
    </w:rPr>
  </w:style>
  <w:style w:type="paragraph" w:styleId="Titre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itre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itre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itre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itre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itre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Source Han Sans CN" w:cs="Droid Sans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ascii="Arial" w:hAnsi="Arial" w:cs="Droid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Arial" w:hAnsi="Arial"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Droid Sans Devanagari"/>
      <w:lang w:val="zxx" w:eastAsia="zxx" w:bidi="zxx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ru-RU" w:eastAsia="zh-CN" w:bidi="hi-IN"/>
    </w:rPr>
  </w:style>
  <w:style w:type="paragraph" w:styleId="Titreprincipal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oustitr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LibreOffice/7.3.2.2$Linux_X86_64 LibreOffice_project/30$Build-2</Application>
  <AppVersion>15.0000</AppVersion>
  <Pages>3</Pages>
  <Words>442</Words>
  <Characters>3307</Characters>
  <CharactersWithSpaces>3754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>Cyrille Kossyguine</cp:lastModifiedBy>
  <dcterms:modified xsi:type="dcterms:W3CDTF">2022-05-15T15:50:07Z</dcterms:modified>
  <cp:revision>3</cp:revision>
  <dc:subject/>
  <dc:title/>
</cp:coreProperties>
</file>