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FFB45" w14:textId="046C2B62" w:rsidR="00D136AE" w:rsidRPr="00076ECF" w:rsidRDefault="00534332" w:rsidP="00076ECF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6ECF">
        <w:rPr>
          <w:rFonts w:ascii="Times New Roman" w:hAnsi="Times New Roman" w:cs="Times New Roman"/>
          <w:b/>
          <w:bCs/>
          <w:sz w:val="28"/>
          <w:szCs w:val="28"/>
        </w:rPr>
        <w:t xml:space="preserve">2.1. Изучить методики расчета экономической эффективности информационной системы анализа деятельности предприятия на основе ГОСТ 24.702-85 «Единая система стандартов автоматизированных систем управления. эффективность автоматизированных систем управления. основные положения» (по материалам статьи </w:t>
      </w:r>
      <w:hyperlink r:id="rId4" w:history="1">
        <w:r w:rsidRPr="00076EC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http://www.tpinauka.ru/2017/05/Pukhaeva.pdf</w:t>
        </w:r>
      </w:hyperlink>
      <w:r w:rsidRPr="00076EC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3775245" w14:textId="5FAD8DE6" w:rsidR="00534332" w:rsidRPr="00076ECF" w:rsidRDefault="00534332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E93A0E" w14:textId="14D6BC25" w:rsidR="00856BB3" w:rsidRPr="00ED116F" w:rsidRDefault="00856BB3" w:rsidP="00984F4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ECF">
        <w:rPr>
          <w:rFonts w:ascii="Times New Roman" w:hAnsi="Times New Roman" w:cs="Times New Roman"/>
          <w:b/>
          <w:bCs/>
          <w:sz w:val="28"/>
          <w:szCs w:val="28"/>
        </w:rPr>
        <w:t>Методики расчета экономической эффективности информационной системы</w:t>
      </w:r>
    </w:p>
    <w:p w14:paraId="27E1BBF6" w14:textId="690690AD" w:rsidR="00856BB3" w:rsidRPr="00076ECF" w:rsidRDefault="00856BB3" w:rsidP="00ED11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Российско-советская методика расчета экономической эффективности АСУП.</w:t>
      </w:r>
    </w:p>
    <w:p w14:paraId="23B525DD" w14:textId="0A0270DA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Для оценки плановых и проектных решений в методике приводятся не только показатели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сравнительной экономической эффективности инвестиций, но и показатели общей (абсолютной)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эффективности. Методика предлагала определять показатель минимума приведенных затрат для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расчета экономической эффективности капитальных вложений</w:t>
      </w:r>
    </w:p>
    <w:p w14:paraId="71EE963D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77A52B8" w14:textId="0F66B306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простого срока окупаемости – PP (Payback Period).</w:t>
      </w:r>
    </w:p>
    <w:p w14:paraId="4D6E3C27" w14:textId="4E6B3118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Метод расчета срока окупаемости инвестиций – один из самых простых и широко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распространенных в мировой учетно-аналитической практике. Его алгоритм зависит от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равномерности распределения прогнозируемых доходов от инвестиций: если доход распределен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по годам равномерно, то срок окупаемости рассчитывается делением единовременных затрат на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величину годового дохода, обусловленного ими; если прибыль распределена неравномерно, то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срок окупаемости рассчитывается прямым подсчетом числа лет, в течение которых инвестиция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будет погашена кумулятивным доходом. По сути, РР представляет собой анализ возврата средств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исходя из принятых в компании максимальных сроков окупаемости вложений.</w:t>
      </w:r>
    </w:p>
    <w:p w14:paraId="16FD5305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9068414" w14:textId="1A38FAE1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чистой приведенной стоимости – NPV (Net Present Value).</w:t>
      </w:r>
    </w:p>
    <w:p w14:paraId="7C640A7C" w14:textId="04F4ED60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Метод расчета чистой приведенной стоимости проекта позволяет оценить его дисконтированную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стоимость, определяемую как разность между дисконтированными (т.е. приведенными к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настоящему моменту) ожидаемыми поступлениями от реализации проекта и дисконтированными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затратами на его осуществление, включая величину первоначальных инвестиций. Поскольку при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определении NPV не предусмотрен анализ проектных рисков, после ее расчета приходится такой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анализ проводить дополнительно, и уже после этого принимать решение о реализации или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отклонении того или иного проекта. Кроме того, надо учитывать, что для обоснования выбора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между двумя и более проектами, что часто происходит при выборе варианта ИТ-решения,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методика NPV уже не вполне годится – поскольку требует корректировки и приведения проектов к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сопоставимым, в том числе и по бюджету, для сравнения необходимых для каждого из них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инвестиций.</w:t>
      </w:r>
    </w:p>
    <w:p w14:paraId="3331D805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4F337DA" w14:textId="125071FE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внутренней нормы доходности – IRR (Internal Rate of Return).</w:t>
      </w:r>
    </w:p>
    <w:p w14:paraId="23829D32" w14:textId="2D8DC7DA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Метод определения внутренней нормы доходности проекта предназначен для установления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нормы рентабельности (прибыльности). Это один из важнейших показателей эффективности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инвестиций, рассчитываемый как ставка дисконтирования, при которой чистая приведенная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стоимость денежного потока от инвестиционного проекта равна нулю – если рассчитанная ставка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 xml:space="preserve">больше ставки процента за кредит или нормативной ставки рефинансирования, то </w:t>
      </w:r>
      <w:r w:rsidR="00373850" w:rsidRPr="00076ECF">
        <w:rPr>
          <w:rFonts w:ascii="Times New Roman" w:hAnsi="Times New Roman" w:cs="Times New Roman"/>
          <w:sz w:val="28"/>
          <w:szCs w:val="28"/>
        </w:rPr>
        <w:t>проект считается</w:t>
      </w:r>
      <w:r w:rsidRPr="00076ECF">
        <w:rPr>
          <w:rFonts w:ascii="Times New Roman" w:hAnsi="Times New Roman" w:cs="Times New Roman"/>
          <w:sz w:val="28"/>
          <w:szCs w:val="28"/>
        </w:rPr>
        <w:t xml:space="preserve"> выгодным. Этот показатель, в первую очередь, характеризует не столько прибыльность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проекта, сколько его устойчивость к повышению процентных ставок</w:t>
      </w:r>
    </w:p>
    <w:p w14:paraId="552F4AAB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D55EFA" w14:textId="1FB74719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lastRenderedPageBreak/>
        <w:t>Модифицированная внутренняя норма доходности – MIRR (Modified Internal Rate of Return).</w:t>
      </w:r>
    </w:p>
    <w:p w14:paraId="77087074" w14:textId="1929FF0A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Модифицированная внутренняя норма доходности MIRR (Modified Internal Rate of Return) – это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ставка в коэффициенте дисконтирования, уравновешивающая притоки и оттоки средств по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проекту. Это ставка, при которой терминальная стоимость (будущая стоимость всех входящих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денежных потоков) будет приведена к настоящему моменту и будет равна настоящей стоимости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всех расходов (исходящих денежных потоков), связанных с проектом.</w:t>
      </w:r>
    </w:p>
    <w:p w14:paraId="3313F553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9CF0D2D" w14:textId="51D9FEE2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дюрации (D).</w:t>
      </w:r>
    </w:p>
    <w:p w14:paraId="5CB3619A" w14:textId="5E3C8871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Дюрация (D) – это средневзвешенный срок жизненного цикла инвестиционного проекта, где в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качестве весов выступают текущие стоимости денежных потоков, получаемых в период t, или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другими словами, как точку равновесия сроков дисконтированных платежей. Она позволяет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привести к единому стандарту самые разнообразные по своим характеристикам проекты, что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характерно именно для ИТ-решений. Ключевым моментом этой методики является не то, как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долго каждый инвестиционный проект будет приносить доход, а прежде всего то, когда он будет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приносить доход и сколько поступлений дохода будет каждый месяц, квартал или год на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протяжении всего срока его действия</w:t>
      </w:r>
    </w:p>
    <w:p w14:paraId="57FE4CED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8B44861" w14:textId="156ED56C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потребности в дополнительном финансировании (ДПФ).</w:t>
      </w:r>
    </w:p>
    <w:p w14:paraId="17A002E3" w14:textId="23EAF7B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Один из показателей эффективности инвестиционных проектов – потребность в дополнительном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финансировании. ПФ показывает минимальный объем внешнего финансирования проекта,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необходимый для обеспечения его финансовой реализуемости. Поэтому ПФ называют еще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капиталом риска. Значение показателя ПФ ненормируемое. Чем меньше абсолютная величина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 xml:space="preserve">ПФ, тем меньшее количество денежных средств должно привлекаться для </w:t>
      </w:r>
      <w:r w:rsidRPr="00076ECF">
        <w:rPr>
          <w:rFonts w:ascii="Times New Roman" w:hAnsi="Times New Roman" w:cs="Times New Roman"/>
          <w:sz w:val="28"/>
          <w:szCs w:val="28"/>
        </w:rPr>
        <w:lastRenderedPageBreak/>
        <w:t>осуществления проекта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из источников финансирования, внешних по отношению к проекту</w:t>
      </w:r>
    </w:p>
    <w:p w14:paraId="2D0AE137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09B8784" w14:textId="32060C19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индекса прибыльности – PI (Profitability Index).</w:t>
      </w:r>
    </w:p>
    <w:p w14:paraId="61635294" w14:textId="0DE10979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Индекс прибыльности PI показывает относительную прибыльность проекта, или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дисконтированную стоимость денежных поступлений от проекта в расчете на единицу вложений.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Индекс доходности инвестиций рассчитывается как отношение приведенной стоимости будущих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денежных потоков от реализации инвестиционного проекта к приведенной стоимости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первоначальных инвестиций.</w:t>
      </w:r>
    </w:p>
    <w:p w14:paraId="07A72368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A63D401" w14:textId="25780010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 средней нормы доходности ARR (Average Rate of Return).</w:t>
      </w:r>
    </w:p>
    <w:p w14:paraId="18D53282" w14:textId="502FE29C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Индекс прибыльности PI показывает относительную прибыльность проекта, или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дисконтированную стоимость денежных поступлений от проекта в расчете на единицу вложений.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Индекс доходности инвестиций рассчитывается как отношение приведенной стоимости будущих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денежных потоков от реализации инвестиционного проекта к приведенной стоимости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первоначальных инвестиций</w:t>
      </w:r>
    </w:p>
    <w:p w14:paraId="3BBB8F5F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5FF7553" w14:textId="2EFD0528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t>Расчета рентабельности инвестиций ROI (Return on Investment).</w:t>
      </w:r>
    </w:p>
    <w:p w14:paraId="251B83CC" w14:textId="16163316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Коэффициент рентабельности инвестиций (ROI) характеризует доходность инвестиционных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вложений. Представляет собой классический способ измерения отдачи от капиталовложений в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ИТ-проекты. Расчет производится исходя из затрат на внедрение новых информационных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комплексов и систем и снижения других затрат компании после осуществления этого проекта, а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также прогнозируемого роста доходов</w:t>
      </w:r>
    </w:p>
    <w:p w14:paraId="0E716359" w14:textId="77777777" w:rsidR="00856BB3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B9BFD08" w14:textId="57A9215A" w:rsidR="00856BB3" w:rsidRPr="00076ECF" w:rsidRDefault="00856BB3" w:rsidP="00872F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ECF">
        <w:rPr>
          <w:rFonts w:ascii="Times New Roman" w:hAnsi="Times New Roman" w:cs="Times New Roman"/>
          <w:sz w:val="28"/>
          <w:szCs w:val="28"/>
          <w:u w:val="single"/>
        </w:rPr>
        <w:lastRenderedPageBreak/>
        <w:t>Расчет экономической добавленной стоимости EVA (Economic Value Added).</w:t>
      </w:r>
    </w:p>
    <w:p w14:paraId="2029A72B" w14:textId="5FAB7107" w:rsidR="00534332" w:rsidRPr="00076ECF" w:rsidRDefault="00856BB3" w:rsidP="00076E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CF">
        <w:rPr>
          <w:rFonts w:ascii="Times New Roman" w:hAnsi="Times New Roman" w:cs="Times New Roman"/>
          <w:sz w:val="28"/>
          <w:szCs w:val="28"/>
        </w:rPr>
        <w:t>Метод расчета экономической добавленной стоимости, при котором в качестве основного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параметра оценки используется чистая операционная прибыль компании за вычетом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соответствующих затрат на капитал. Рассчитывается как разность между операционной прибылью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за вычетом налогов, но до вычета процентов, и произведением средневзвешенной стоимости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капитала на величину инвестиций, осуществленных к началу периода. Может также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рассчитываться как произведение величины инвестированного капитала на разность между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выраженной в процентах рентабельностью инвестиций и выраженной в процентах</w:t>
      </w:r>
      <w:r w:rsidR="00373850" w:rsidRPr="00076ECF">
        <w:rPr>
          <w:rFonts w:ascii="Times New Roman" w:hAnsi="Times New Roman" w:cs="Times New Roman"/>
          <w:sz w:val="28"/>
          <w:szCs w:val="28"/>
        </w:rPr>
        <w:t xml:space="preserve"> </w:t>
      </w:r>
      <w:r w:rsidRPr="00076ECF">
        <w:rPr>
          <w:rFonts w:ascii="Times New Roman" w:hAnsi="Times New Roman" w:cs="Times New Roman"/>
          <w:sz w:val="28"/>
          <w:szCs w:val="28"/>
        </w:rPr>
        <w:t>средневзвешенной стоимостью капитала.</w:t>
      </w:r>
    </w:p>
    <w:sectPr w:rsidR="00534332" w:rsidRPr="00076ECF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69"/>
    <w:rsid w:val="00076ECF"/>
    <w:rsid w:val="00264569"/>
    <w:rsid w:val="002A4BEC"/>
    <w:rsid w:val="00373850"/>
    <w:rsid w:val="004D22C7"/>
    <w:rsid w:val="00534332"/>
    <w:rsid w:val="00624E0B"/>
    <w:rsid w:val="00856BB3"/>
    <w:rsid w:val="00872F0F"/>
    <w:rsid w:val="008F3155"/>
    <w:rsid w:val="00984F47"/>
    <w:rsid w:val="00AD1694"/>
    <w:rsid w:val="00D136AE"/>
    <w:rsid w:val="00E71A71"/>
    <w:rsid w:val="00EB4150"/>
    <w:rsid w:val="00ED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857A"/>
  <w15:chartTrackingRefBased/>
  <w15:docId w15:val="{C8BAEDF0-D844-4226-B9F5-D9D9EFBD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433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4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pinauka.ru/2017/05/Pukhaev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8</cp:revision>
  <dcterms:created xsi:type="dcterms:W3CDTF">2020-12-22T14:36:00Z</dcterms:created>
  <dcterms:modified xsi:type="dcterms:W3CDTF">2020-12-22T14:44:00Z</dcterms:modified>
</cp:coreProperties>
</file>