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Структура выпускной квалификационной работы: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8"/>
        <w:numPr>
          <w:ilvl w:val="0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Глава 1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1. Анализ школьных терминалов самообслуживания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2. Принципы создания, хранения и редактирования контента для школьных терминалов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3. Анализ систем подготовки учеников к использованию школьного терминала самообслуживания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0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Глава 2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1. Анализ образовательного учреждения до внедрения системы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2. Разработка концепций/методик/технологий/инструментов использования школьного терминала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8"/>
        <w:numPr>
          <w:ilvl w:val="1"/>
          <w:numId w:val="2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3. Корпоративная электронная подготовка учеников к использованию школьного терминала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uiPriority w:val="1"/>
    <w:qFormat/>
    <w:pPr>
      <w:spacing w:after="0" w:line="240" w:lineRule="auto"/>
    </w:pPr>
  </w:style>
  <w:style w:type="paragraph" w:styleId="818">
    <w:name w:val="List Paragraph"/>
    <w:basedOn w:val="814"/>
    <w:uiPriority w:val="34"/>
    <w:qFormat/>
    <w:pPr>
      <w:contextualSpacing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2022-10-22T10:13:38Z</dcterms:modified>
</cp:coreProperties>
</file>